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228600</wp:posOffset>
            </wp:positionV>
            <wp:extent cx="2033905" cy="589280"/>
            <wp:effectExtent l="0" t="0" r="0" b="0"/>
            <wp:wrapNone/>
            <wp:docPr id="1" name="图片 2" descr="C:\Users\lijp\Desktop\开放信息\附件1.png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ijp\Desktop\开放信息\附件1.png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分布式光伏最大开放容量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二〇二三年六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月</w:t>
      </w:r>
    </w:p>
    <w:p>
      <w:pPr>
        <w:pStyle w:val="3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1.《国家发展改革委国家能源局关于全面提升“获得电力”服务水平 持续优化用电营商环境的意见》（发改能源规〔2020〕1479号）：各供电企业要及时公布本地区配电网接入能力和容量受限情况。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供电企业信息公开实施办法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》（国能发监管规〔2021〕56号）：</w:t>
      </w:r>
      <w:r>
        <w:rPr>
          <w:rFonts w:hint="eastAsia" w:ascii="仿宋" w:hAnsi="仿宋" w:eastAsia="仿宋" w:cs="仿宋"/>
          <w:sz w:val="32"/>
          <w:szCs w:val="32"/>
        </w:rPr>
        <w:t>可开放容量有关信息。包括本地区配电网接入能力和容量受限情况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3.《山东省全面提升“获得电力”服务水平 持续优化用电营商环境三年行动计划》（鲁发改能源〔2021〕360号）：各供电企业要全面梳理配电网接入能力及容量受限情况等公开事项，及时更新信息公开目录并严格执行，切实保障用户知情权和自主选择权。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MzliNmJlNjc3MTY3NjViOGQ1M2UwMmY3MWU5OWUifQ=="/>
  </w:docVars>
  <w:rsids>
    <w:rsidRoot w:val="12015A11"/>
    <w:rsid w:val="040A66D8"/>
    <w:rsid w:val="12015A11"/>
    <w:rsid w:val="1E920E5C"/>
    <w:rsid w:val="360B325D"/>
    <w:rsid w:val="3873041E"/>
    <w:rsid w:val="38CD2222"/>
    <w:rsid w:val="44E04653"/>
    <w:rsid w:val="58371D62"/>
    <w:rsid w:val="5F90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sz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312</Characters>
  <Lines>0</Lines>
  <Paragraphs>0</Paragraphs>
  <TotalTime>6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2022-09-01T05:16:00Z</dcterms:created>
  <dc:creator>lenovo</dc:creator>
  <cp:lastModifiedBy>admin</cp:lastModifiedBy>
  <cp:lastPrinted>2023-03-09T04:09:00Z</cp:lastPrinted>
  <dcterms:modified xsi:type="dcterms:W3CDTF">2023-07-09T04:14:27Z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2884CCAA15944067BDBEBA3E7A96B77B_12</vt:lpwstr>
  </property>
</Properties>
</file>