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insoku/>
        <w:autoSpaceDE/>
        <w:autoSpaceDN/>
        <w:adjustRightInd/>
        <w:snapToGrid/>
        <w:spacing w:beforeAutospacing="0" w:afterAutospacing="0" w:line="560" w:lineRule="exact"/>
        <w:jc w:val="left"/>
        <w:textAlignment w:val="auto"/>
        <w:rPr>
          <w:rStyle w:val="11"/>
          <w:rFonts w:hint="default" w:ascii="Times New Roman" w:hAnsi="Times New Roman" w:eastAsia="黑体" w:cs="Times New Roman"/>
          <w:b w:val="0"/>
          <w:color w:val="333333"/>
          <w:sz w:val="32"/>
          <w:szCs w:val="32"/>
          <w:shd w:val="clear" w:color="auto" w:fill="FFFFFF"/>
          <w:lang w:eastAsia="zh-CN"/>
        </w:rPr>
      </w:pPr>
      <w:r>
        <w:rPr>
          <w:rStyle w:val="11"/>
          <w:rFonts w:hint="default" w:ascii="Times New Roman" w:hAnsi="Times New Roman" w:eastAsia="黑体" w:cs="Times New Roman"/>
          <w:b w:val="0"/>
          <w:color w:val="333333"/>
          <w:sz w:val="32"/>
          <w:szCs w:val="32"/>
          <w:shd w:val="clear" w:color="auto" w:fill="FFFFFF"/>
          <w:lang w:eastAsia="zh-CN"/>
        </w:rPr>
        <w:t>附件</w:t>
      </w:r>
    </w:p>
    <w:p>
      <w:pPr>
        <w:pStyle w:val="7"/>
        <w:kinsoku/>
        <w:autoSpaceDE/>
        <w:autoSpaceDN/>
        <w:adjustRightInd/>
        <w:snapToGrid/>
        <w:spacing w:beforeAutospacing="0" w:afterAutospacing="0" w:line="560" w:lineRule="exact"/>
        <w:jc w:val="center"/>
        <w:textAlignment w:val="auto"/>
        <w:rPr>
          <w:rStyle w:val="11"/>
          <w:rFonts w:hint="default" w:ascii="Times New Roman" w:hAnsi="Times New Roman" w:eastAsia="方正小标宋简体" w:cs="Times New Roman"/>
          <w:b w:val="0"/>
          <w:color w:val="333333"/>
          <w:sz w:val="44"/>
          <w:szCs w:val="44"/>
          <w:shd w:val="clear" w:color="auto" w:fill="FFFFFF"/>
        </w:rPr>
      </w:pPr>
    </w:p>
    <w:p>
      <w:pPr>
        <w:pStyle w:val="7"/>
        <w:kinsoku/>
        <w:autoSpaceDE/>
        <w:autoSpaceDN/>
        <w:adjustRightInd/>
        <w:snapToGrid/>
        <w:spacing w:beforeAutospacing="0" w:afterAutospacing="0" w:line="560" w:lineRule="exact"/>
        <w:jc w:val="center"/>
        <w:textAlignment w:val="auto"/>
        <w:rPr>
          <w:rStyle w:val="11"/>
          <w:rFonts w:hint="default" w:ascii="Times New Roman" w:hAnsi="Times New Roman" w:eastAsia="方正小标宋简体" w:cs="Times New Roman"/>
          <w:b w:val="0"/>
          <w:color w:val="333333"/>
          <w:sz w:val="44"/>
          <w:szCs w:val="44"/>
          <w:shd w:val="clear" w:color="auto" w:fill="FFFFFF"/>
        </w:rPr>
      </w:pPr>
      <w:r>
        <w:rPr>
          <w:rStyle w:val="11"/>
          <w:rFonts w:hint="default" w:ascii="Times New Roman" w:hAnsi="Times New Roman" w:eastAsia="方正小标宋简体" w:cs="Times New Roman"/>
          <w:b w:val="0"/>
          <w:color w:val="333333"/>
          <w:sz w:val="44"/>
          <w:szCs w:val="44"/>
          <w:shd w:val="clear" w:color="auto" w:fill="FFFFFF"/>
        </w:rPr>
        <w:t>兰陵县建设乡村教育振兴先行区专项工作重点项目清单</w:t>
      </w:r>
    </w:p>
    <w:p>
      <w:pPr>
        <w:pStyle w:val="7"/>
        <w:kinsoku/>
        <w:autoSpaceDE/>
        <w:autoSpaceDN/>
        <w:adjustRightInd/>
        <w:snapToGrid/>
        <w:spacing w:beforeAutospacing="0" w:afterAutospacing="0" w:line="400" w:lineRule="exact"/>
        <w:jc w:val="center"/>
        <w:textAlignment w:val="auto"/>
        <w:rPr>
          <w:rFonts w:hint="default" w:ascii="Times New Roman" w:hAnsi="Times New Roman" w:eastAsia="楷体" w:cs="Times New Roman"/>
          <w:color w:val="333333"/>
          <w:sz w:val="16"/>
          <w:szCs w:val="16"/>
        </w:rPr>
      </w:pPr>
    </w:p>
    <w:tbl>
      <w:tblPr>
        <w:tblStyle w:val="8"/>
        <w:tblW w:w="14695" w:type="dxa"/>
        <w:jc w:val="center"/>
        <w:tblLayout w:type="autofit"/>
        <w:tblCellMar>
          <w:top w:w="15" w:type="dxa"/>
          <w:left w:w="15" w:type="dxa"/>
          <w:bottom w:w="15" w:type="dxa"/>
          <w:right w:w="15" w:type="dxa"/>
        </w:tblCellMar>
      </w:tblPr>
      <w:tblGrid>
        <w:gridCol w:w="765"/>
        <w:gridCol w:w="1590"/>
        <w:gridCol w:w="5565"/>
        <w:gridCol w:w="3525"/>
        <w:gridCol w:w="1560"/>
        <w:gridCol w:w="1690"/>
      </w:tblGrid>
      <w:tr>
        <w:tblPrEx>
          <w:tblCellMar>
            <w:top w:w="15" w:type="dxa"/>
            <w:left w:w="15" w:type="dxa"/>
            <w:bottom w:w="15" w:type="dxa"/>
            <w:right w:w="15" w:type="dxa"/>
          </w:tblCellMar>
        </w:tblPrEx>
        <w:trPr>
          <w:trHeight w:val="510" w:hRule="atLeast"/>
          <w:jc w:val="center"/>
        </w:trPr>
        <w:tc>
          <w:tcPr>
            <w:tcW w:w="76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center"/>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rPr>
              <w:t>序号</w:t>
            </w:r>
          </w:p>
        </w:tc>
        <w:tc>
          <w:tcPr>
            <w:tcW w:w="159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center"/>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rPr>
              <w:t>项目名称</w:t>
            </w:r>
          </w:p>
        </w:tc>
        <w:tc>
          <w:tcPr>
            <w:tcW w:w="556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center"/>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rPr>
              <w:t>主要任务</w:t>
            </w:r>
          </w:p>
        </w:tc>
        <w:tc>
          <w:tcPr>
            <w:tcW w:w="352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center"/>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rPr>
              <w:t>工作目标</w:t>
            </w:r>
          </w:p>
        </w:tc>
        <w:tc>
          <w:tcPr>
            <w:tcW w:w="156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center"/>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rPr>
              <w:t>牵头部门</w:t>
            </w:r>
          </w:p>
        </w:tc>
        <w:tc>
          <w:tcPr>
            <w:tcW w:w="169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center"/>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rPr>
              <w:t>参与部门</w:t>
            </w:r>
          </w:p>
        </w:tc>
      </w:tr>
      <w:tr>
        <w:tblPrEx>
          <w:tblCellMar>
            <w:top w:w="15" w:type="dxa"/>
            <w:left w:w="15" w:type="dxa"/>
            <w:bottom w:w="15" w:type="dxa"/>
            <w:right w:w="15" w:type="dxa"/>
          </w:tblCellMar>
        </w:tblPrEx>
        <w:trPr>
          <w:trHeight w:val="2445" w:hRule="atLeast"/>
          <w:jc w:val="center"/>
        </w:trPr>
        <w:tc>
          <w:tcPr>
            <w:tcW w:w="765" w:type="dxa"/>
            <w:tcBorders>
              <w:top w:val="nil"/>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1</w:t>
            </w:r>
          </w:p>
        </w:tc>
        <w:tc>
          <w:tcPr>
            <w:tcW w:w="1590"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乡村全环境立德树人工程</w:t>
            </w:r>
          </w:p>
        </w:tc>
        <w:tc>
          <w:tcPr>
            <w:tcW w:w="5565"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学校（以下项目除特殊区分外，均含幼儿园）“一校一案”制定全环境立德树人实施方案。加强乡村学校家长委员会和家长学校（课堂）建设，引导家长落实家庭教育责任。加强乡村家庭教育阵地建设，依托文明实践所（站），普遍建立家长学校或家庭教育指导服务站点。充分利用乡村自然人文资源，组织非遗传承人、能工巧匠、致富能手进校园，开设特色课程，挖掘育人元素，形成育人合力。</w:t>
            </w:r>
          </w:p>
        </w:tc>
        <w:tc>
          <w:tcPr>
            <w:tcW w:w="3525"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2023年，乡村学校全部制定全环境立德树人工作方案，乡村学校家长委员会和家长学校（课堂）建设全覆盖。2025年村居家长学校或家庭教育指导站点建设基本全覆盖。</w:t>
            </w:r>
          </w:p>
        </w:tc>
        <w:tc>
          <w:tcPr>
            <w:tcW w:w="1560"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县妇联</w:t>
            </w:r>
          </w:p>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p>
        </w:tc>
        <w:tc>
          <w:tcPr>
            <w:tcW w:w="1690"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县委宣传部</w:t>
            </w:r>
          </w:p>
        </w:tc>
      </w:tr>
      <w:tr>
        <w:tblPrEx>
          <w:tblCellMar>
            <w:top w:w="15" w:type="dxa"/>
            <w:left w:w="15" w:type="dxa"/>
            <w:bottom w:w="15" w:type="dxa"/>
            <w:right w:w="15" w:type="dxa"/>
          </w:tblCellMar>
        </w:tblPrEx>
        <w:trPr>
          <w:trHeight w:val="129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乡村文明校园创建行动</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重点围绕领导班子建设、思想道德教育、活动阵地建设、教师队伍建设、校园文化建设、整洁优美环境等方面，深化乡村中小学校文明校园创建，进一步健全工作机制，提高师生公民道德、职业道德、文明修养和民主法治观念，提高校园文化生活质量，改善乡村学校育人环境，形成良好的校风、教风、学风。</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2025年，乡镇驻地中小学校省级、市级文明校园比例分别达到2%、5%，其中全国文明校园实现突破。</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县委宣传部</w:t>
            </w:r>
          </w:p>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insoku/>
              <w:autoSpaceDE/>
              <w:autoSpaceDN/>
              <w:adjustRightInd/>
              <w:snapToGrid/>
              <w:spacing w:line="360" w:lineRule="exact"/>
              <w:rPr>
                <w:rFonts w:hint="default" w:ascii="Times New Roman" w:hAnsi="Times New Roman" w:eastAsia="仿宋_GB2312" w:cs="Times New Roman"/>
                <w:sz w:val="24"/>
                <w:szCs w:val="24"/>
              </w:rPr>
            </w:pPr>
          </w:p>
        </w:tc>
      </w:tr>
      <w:tr>
        <w:tblPrEx>
          <w:tblCellMar>
            <w:top w:w="15" w:type="dxa"/>
            <w:left w:w="15" w:type="dxa"/>
            <w:bottom w:w="15" w:type="dxa"/>
            <w:right w:w="15" w:type="dxa"/>
          </w:tblCellMar>
        </w:tblPrEx>
        <w:trPr>
          <w:trHeight w:val="2105" w:hRule="atLeast"/>
          <w:jc w:val="center"/>
        </w:trPr>
        <w:tc>
          <w:tcPr>
            <w:tcW w:w="765" w:type="dxa"/>
            <w:tcBorders>
              <w:top w:val="single" w:color="auto" w:sz="4"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3</w:t>
            </w:r>
          </w:p>
        </w:tc>
        <w:tc>
          <w:tcPr>
            <w:tcW w:w="1590" w:type="dxa"/>
            <w:tcBorders>
              <w:top w:val="single" w:color="auto" w:sz="4" w:space="0"/>
              <w:left w:val="nil"/>
              <w:bottom w:val="single" w:color="auto" w:sz="4" w:space="0"/>
              <w:right w:val="single" w:color="000000" w:sz="6"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乡村绿色校园创建行动</w:t>
            </w:r>
          </w:p>
        </w:tc>
        <w:tc>
          <w:tcPr>
            <w:tcW w:w="5565" w:type="dxa"/>
            <w:tcBorders>
              <w:top w:val="single" w:color="auto" w:sz="4" w:space="0"/>
              <w:left w:val="nil"/>
              <w:bottom w:val="single" w:color="auto" w:sz="4" w:space="0"/>
              <w:right w:val="single" w:color="000000" w:sz="6"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加强乡村学生生态文明教育，探索开发生态文明教育校本课程、开展丰富多彩的生态文明教育活动，培育绿色校园文化。围绕校园环境整洁、优美、清净目标，加强绿色环保校园建设。</w:t>
            </w:r>
          </w:p>
        </w:tc>
        <w:tc>
          <w:tcPr>
            <w:tcW w:w="3525" w:type="dxa"/>
            <w:tcBorders>
              <w:top w:val="single" w:color="auto" w:sz="4" w:space="0"/>
              <w:left w:val="nil"/>
              <w:bottom w:val="single" w:color="auto" w:sz="4" w:space="0"/>
              <w:right w:val="single" w:color="000000" w:sz="6"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2025年，乡村绿色校园全覆盖。</w:t>
            </w:r>
          </w:p>
        </w:tc>
        <w:tc>
          <w:tcPr>
            <w:tcW w:w="1560" w:type="dxa"/>
            <w:tcBorders>
              <w:top w:val="single" w:color="auto" w:sz="4" w:space="0"/>
              <w:left w:val="nil"/>
              <w:bottom w:val="single" w:color="auto" w:sz="4" w:space="0"/>
              <w:right w:val="single" w:color="000000" w:sz="6"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nil"/>
              <w:bottom w:val="single" w:color="auto" w:sz="4" w:space="0"/>
              <w:right w:val="single" w:color="000000" w:sz="6"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县发改局</w:t>
            </w:r>
          </w:p>
        </w:tc>
      </w:tr>
      <w:tr>
        <w:tblPrEx>
          <w:tblCellMar>
            <w:top w:w="15" w:type="dxa"/>
            <w:left w:w="15" w:type="dxa"/>
            <w:bottom w:w="15" w:type="dxa"/>
            <w:right w:w="15" w:type="dxa"/>
          </w:tblCellMar>
        </w:tblPrEx>
        <w:trPr>
          <w:trHeight w:val="1825" w:hRule="atLeast"/>
          <w:jc w:val="center"/>
        </w:trPr>
        <w:tc>
          <w:tcPr>
            <w:tcW w:w="765" w:type="dxa"/>
            <w:tcBorders>
              <w:top w:val="nil"/>
              <w:left w:val="single" w:color="000000" w:sz="6"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4</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乡村书香校园建设行动</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重视乡村学校语言文字工作，加大学校图书配备力度，建设好图书馆（室）和阅读设施，强化日常管理。重视学生阅读习惯培养和阅读氛围营造，开展丰富多彩的阅读活动。</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“十四五”期间，积极创建市、县级乡村书香校园。</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县文旅局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县委宣传部</w:t>
            </w:r>
          </w:p>
        </w:tc>
      </w:tr>
      <w:tr>
        <w:tblPrEx>
          <w:tblCellMar>
            <w:top w:w="15" w:type="dxa"/>
            <w:left w:w="15" w:type="dxa"/>
            <w:bottom w:w="15" w:type="dxa"/>
            <w:right w:w="15" w:type="dxa"/>
          </w:tblCellMar>
        </w:tblPrEx>
        <w:trPr>
          <w:trHeight w:val="209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5</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乡村温馨校园建设行动</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坚持校园校舍“硬环境”与精神文化“软环境”建设两手抓，持续改善乡村学校办学条件，加强校园文化建设和标准化管理，着力提升办学质量，为乡村孩子创设环境优美、安全舒适、快乐和谐的就学条件。</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至2027年，积极创建省、市级乡村温馨校园，省市县三级乡村温馨校园实现全覆盖。</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insoku/>
              <w:autoSpaceDE/>
              <w:autoSpaceDN/>
              <w:adjustRightInd/>
              <w:snapToGrid/>
              <w:spacing w:line="360" w:lineRule="exact"/>
              <w:rPr>
                <w:rFonts w:hint="default" w:ascii="Times New Roman" w:hAnsi="Times New Roman" w:eastAsia="仿宋_GB2312" w:cs="Times New Roman"/>
                <w:sz w:val="24"/>
                <w:szCs w:val="24"/>
              </w:rPr>
            </w:pPr>
          </w:p>
        </w:tc>
      </w:tr>
      <w:tr>
        <w:tblPrEx>
          <w:tblCellMar>
            <w:top w:w="15" w:type="dxa"/>
            <w:left w:w="15" w:type="dxa"/>
            <w:bottom w:w="15" w:type="dxa"/>
            <w:right w:w="15" w:type="dxa"/>
          </w:tblCellMar>
        </w:tblPrEx>
        <w:trPr>
          <w:trHeight w:val="1605" w:hRule="atLeast"/>
          <w:jc w:val="center"/>
        </w:trPr>
        <w:tc>
          <w:tcPr>
            <w:tcW w:w="765" w:type="dxa"/>
            <w:tcBorders>
              <w:top w:val="single" w:color="auto" w:sz="4" w:space="0"/>
              <w:left w:val="single" w:color="000000" w:sz="6"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6</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完善乡村学校学区管理机制</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健全完善乡村教育管理体制，乡村初中、小学、幼儿园同学段整合为三个独立法人机构，实行“一校多区、一园多点”一体化管理模式，提升教育资源使用效益。</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2025年，乡镇教育镇村一体化体制进一步理顺，管理更加优化，学区内资源统筹调配和使用效益进一步增强。</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县委编办</w:t>
            </w:r>
          </w:p>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县人社局</w:t>
            </w:r>
          </w:p>
        </w:tc>
      </w:tr>
      <w:tr>
        <w:tblPrEx>
          <w:tblCellMar>
            <w:top w:w="15" w:type="dxa"/>
            <w:left w:w="15" w:type="dxa"/>
            <w:bottom w:w="15" w:type="dxa"/>
            <w:right w:w="15" w:type="dxa"/>
          </w:tblCellMar>
        </w:tblPrEx>
        <w:trPr>
          <w:trHeight w:val="170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bookmarkStart w:id="0" w:name="_GoBack"/>
            <w:bookmarkEnd w:id="0"/>
            <w:r>
              <w:rPr>
                <w:rFonts w:hint="default" w:ascii="Times New Roman" w:hAnsi="Times New Roman" w:eastAsia="仿宋_GB2312" w:cs="Times New Roman"/>
                <w:color w:val="333333"/>
                <w:szCs w:val="24"/>
              </w:rPr>
              <w:t>7</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乡村中小学布局优化行动</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依据乡村学生生源变动趋势，在充分征求意见的基础上，进一步调整优化乡村学校布局规划。</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bottom w:w="0"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乡村学校布局规范合理，“十四五”期间，县域内乡村小规模学校和教学点数量不再新增。</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县发改局</w:t>
            </w:r>
          </w:p>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县资源</w:t>
            </w:r>
            <w:r>
              <w:rPr>
                <w:rFonts w:hint="default" w:ascii="Times New Roman" w:hAnsi="Times New Roman" w:eastAsia="仿宋_GB2312" w:cs="Times New Roman"/>
                <w:color w:val="333333"/>
                <w:szCs w:val="24"/>
                <w:lang w:eastAsia="zh-CN"/>
              </w:rPr>
              <w:t>规划</w:t>
            </w:r>
            <w:r>
              <w:rPr>
                <w:rFonts w:hint="default" w:ascii="Times New Roman" w:hAnsi="Times New Roman" w:eastAsia="仿宋_GB2312" w:cs="Times New Roman"/>
                <w:color w:val="333333"/>
                <w:szCs w:val="24"/>
              </w:rPr>
              <w:t>局</w:t>
            </w:r>
          </w:p>
        </w:tc>
      </w:tr>
      <w:tr>
        <w:tblPrEx>
          <w:tblCellMar>
            <w:top w:w="15" w:type="dxa"/>
            <w:left w:w="15" w:type="dxa"/>
            <w:bottom w:w="15" w:type="dxa"/>
            <w:right w:w="15" w:type="dxa"/>
          </w:tblCellMar>
        </w:tblPrEx>
        <w:trPr>
          <w:trHeight w:val="183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8</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乡村中小学寄宿条件改善工程</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支持有需求的学校加强学校宿舍、食堂等设施建设，配齐洗浴、饮水等学生生活必需的设施设备，通过政府购买服务方式配备宿管后勤力量。</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2027年，实现中小学生有住宿需求的乡村学校，均具备寄宿条件。</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县发改局</w:t>
            </w:r>
          </w:p>
        </w:tc>
      </w:tr>
      <w:tr>
        <w:tblPrEx>
          <w:tblCellMar>
            <w:top w:w="15" w:type="dxa"/>
            <w:left w:w="15" w:type="dxa"/>
            <w:bottom w:w="15" w:type="dxa"/>
            <w:right w:w="15" w:type="dxa"/>
          </w:tblCellMar>
        </w:tblPrEx>
        <w:trPr>
          <w:trHeight w:val="171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9</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乡村中小学午餐条件改善工程</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寄宿制学校和开通校车学校建设标准化食堂、其他学生有在校午餐需求的学校通过建设食堂和集中配餐</w:t>
            </w:r>
            <w:r>
              <w:rPr>
                <w:rFonts w:hint="eastAsia" w:ascii="Times New Roman" w:hAnsi="Times New Roman" w:eastAsia="仿宋_GB2312" w:cs="Times New Roman"/>
                <w:color w:val="333333"/>
                <w:szCs w:val="24"/>
                <w:lang w:eastAsia="zh-CN"/>
              </w:rPr>
              <w:t>相结合的办法</w:t>
            </w:r>
            <w:r>
              <w:rPr>
                <w:rFonts w:hint="default" w:ascii="Times New Roman" w:hAnsi="Times New Roman" w:eastAsia="仿宋_GB2312" w:cs="Times New Roman"/>
                <w:color w:val="333333"/>
                <w:szCs w:val="24"/>
              </w:rPr>
              <w:t>，改善乡村学校午餐供应条件。</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2023年，实现有在校就餐需求学生在校享受安全、实惠餐品全覆盖。</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县市场监管局</w:t>
            </w:r>
          </w:p>
        </w:tc>
      </w:tr>
      <w:tr>
        <w:tblPrEx>
          <w:tblCellMar>
            <w:top w:w="15" w:type="dxa"/>
            <w:left w:w="15" w:type="dxa"/>
            <w:bottom w:w="15" w:type="dxa"/>
            <w:right w:w="15" w:type="dxa"/>
          </w:tblCellMar>
        </w:tblPrEx>
        <w:trPr>
          <w:trHeight w:val="1385" w:hRule="atLeast"/>
          <w:jc w:val="center"/>
        </w:trPr>
        <w:tc>
          <w:tcPr>
            <w:tcW w:w="765" w:type="dxa"/>
            <w:tcBorders>
              <w:top w:val="single" w:color="auto" w:sz="4" w:space="0"/>
              <w:left w:val="single" w:color="000000" w:sz="6" w:space="0"/>
              <w:bottom w:val="single" w:color="000000" w:sz="6"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10</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乡村学校饮水改善工程</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对饮用水水质不达标、不安全或未经过验收的学校进行改造，对不能实现热水供应的学校补充完善热水供应条件。</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2023年，实现所有学校饮用水安全达标，具备热水供应条件。</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县水利局</w:t>
            </w:r>
          </w:p>
          <w:p>
            <w:pPr>
              <w:pStyle w:val="7"/>
              <w:kinsoku/>
              <w:autoSpaceDE/>
              <w:autoSpaceDN/>
              <w:adjustRightInd/>
              <w:snapToGrid/>
              <w:spacing w:beforeAutospacing="0" w:afterAutospacing="0" w:line="360" w:lineRule="exact"/>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县卫健局</w:t>
            </w:r>
          </w:p>
        </w:tc>
      </w:tr>
      <w:tr>
        <w:tblPrEx>
          <w:tblCellMar>
            <w:top w:w="15" w:type="dxa"/>
            <w:left w:w="15" w:type="dxa"/>
            <w:bottom w:w="15" w:type="dxa"/>
            <w:right w:w="15" w:type="dxa"/>
          </w:tblCellMar>
        </w:tblPrEx>
        <w:trPr>
          <w:trHeight w:val="1305" w:hRule="atLeast"/>
          <w:jc w:val="center"/>
        </w:trPr>
        <w:tc>
          <w:tcPr>
            <w:tcW w:w="765" w:type="dxa"/>
            <w:tcBorders>
              <w:top w:val="nil"/>
              <w:left w:val="single" w:color="000000" w:sz="6"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11</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乡村中小学生交通服务工程</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综合采取优化乡村公共交通和专门配备校车等方式，保障离学校较远的乡村走读学生接送服务，合理安排运行时间、运行线路，并保障运行安全。</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2025年，所有距离学校2公里以上的乡村走读学生实现接送服务。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县交通运输局</w:t>
            </w:r>
          </w:p>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县公安局</w:t>
            </w:r>
          </w:p>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lang w:eastAsia="zh-CN"/>
              </w:rPr>
              <w:t>县</w:t>
            </w:r>
            <w:r>
              <w:rPr>
                <w:rFonts w:hint="default" w:ascii="Times New Roman" w:hAnsi="Times New Roman" w:eastAsia="仿宋_GB2312" w:cs="Times New Roman"/>
                <w:color w:val="333333"/>
                <w:szCs w:val="24"/>
              </w:rPr>
              <w:t>交警大队</w:t>
            </w:r>
          </w:p>
        </w:tc>
      </w:tr>
      <w:tr>
        <w:tblPrEx>
          <w:tblCellMar>
            <w:top w:w="15" w:type="dxa"/>
            <w:left w:w="15" w:type="dxa"/>
            <w:bottom w:w="15" w:type="dxa"/>
            <w:right w:w="15" w:type="dxa"/>
          </w:tblCellMar>
        </w:tblPrEx>
        <w:trPr>
          <w:trHeight w:val="1454"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12</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乡村学校取暖消暑条件改善工程</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加强乡村学校电力、管道设备建设，采取清洁能源，进一步改善提升乡村学校（幼儿园）清洁取暖和夏季消暑条件。</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2023年，全面保障乡村学校安全、清洁取暖消暑。</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县住建局</w:t>
            </w:r>
          </w:p>
        </w:tc>
      </w:tr>
      <w:tr>
        <w:tblPrEx>
          <w:tblCellMar>
            <w:top w:w="15" w:type="dxa"/>
            <w:left w:w="15" w:type="dxa"/>
            <w:bottom w:w="15" w:type="dxa"/>
            <w:right w:w="15" w:type="dxa"/>
          </w:tblCellMar>
        </w:tblPrEx>
        <w:trPr>
          <w:trHeight w:val="187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13</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乡村学校卫生厕所建设提升工程</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对照乡村改厕和国家、省办学条件标准要求，进一步改善提升乡村学校如厕条件环境。</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2023年，乡村学校卫生厕所全部改造完成。</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县农业农村局（县乡村振兴局）</w:t>
            </w:r>
          </w:p>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县住建局</w:t>
            </w:r>
          </w:p>
        </w:tc>
      </w:tr>
      <w:tr>
        <w:tblPrEx>
          <w:tblCellMar>
            <w:top w:w="15" w:type="dxa"/>
            <w:left w:w="15" w:type="dxa"/>
            <w:bottom w:w="15" w:type="dxa"/>
            <w:right w:w="15" w:type="dxa"/>
          </w:tblCellMar>
        </w:tblPrEx>
        <w:trPr>
          <w:trHeight w:val="153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14</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乡村中小学校功能室建设工程</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对照国家和省办学条件标准要求，按照缺什么补什么原则，补齐学校功能室建设短板，确保功能室及其仪器设施配备齐全，并及时更新维护。</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2027年，乡镇驻地中小学校功能室建设及仪器器材配备达到省定II类办学条件标准。</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insoku/>
              <w:autoSpaceDE/>
              <w:autoSpaceDN/>
              <w:adjustRightInd/>
              <w:snapToGrid/>
              <w:spacing w:line="360" w:lineRule="exact"/>
              <w:rPr>
                <w:rFonts w:hint="default" w:ascii="Times New Roman" w:hAnsi="Times New Roman" w:eastAsia="仿宋_GB2312" w:cs="Times New Roman"/>
                <w:sz w:val="24"/>
                <w:szCs w:val="24"/>
              </w:rPr>
            </w:pPr>
          </w:p>
        </w:tc>
      </w:tr>
      <w:tr>
        <w:tblPrEx>
          <w:tblCellMar>
            <w:top w:w="15" w:type="dxa"/>
            <w:left w:w="15" w:type="dxa"/>
            <w:bottom w:w="15" w:type="dxa"/>
            <w:right w:w="15" w:type="dxa"/>
          </w:tblCellMar>
        </w:tblPrEx>
        <w:trPr>
          <w:trHeight w:val="1380" w:hRule="atLeast"/>
          <w:jc w:val="center"/>
        </w:trPr>
        <w:tc>
          <w:tcPr>
            <w:tcW w:w="765" w:type="dxa"/>
            <w:tcBorders>
              <w:top w:val="single" w:color="auto" w:sz="4" w:space="0"/>
              <w:left w:val="single" w:color="000000" w:sz="6" w:space="0"/>
              <w:bottom w:val="single" w:color="000000" w:sz="6"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15</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乡村学校设施设备配备工程</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对照办学条件标准，加强乡村学校教学、生活、安管等设施设备配备，并定期维护，及时消除安全隐患。</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2027年，乡村学校设施设备配备齐全，达到省定II类办学条件标准，并建立定期更新维护机制。</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insoku/>
              <w:autoSpaceDE/>
              <w:autoSpaceDN/>
              <w:adjustRightInd/>
              <w:snapToGrid/>
              <w:spacing w:line="360" w:lineRule="exact"/>
              <w:rPr>
                <w:rFonts w:hint="default" w:ascii="Times New Roman" w:hAnsi="Times New Roman" w:eastAsia="仿宋_GB2312" w:cs="Times New Roman"/>
                <w:sz w:val="24"/>
                <w:szCs w:val="24"/>
              </w:rPr>
            </w:pPr>
          </w:p>
        </w:tc>
      </w:tr>
      <w:tr>
        <w:tblPrEx>
          <w:tblCellMar>
            <w:top w:w="15" w:type="dxa"/>
            <w:left w:w="15" w:type="dxa"/>
            <w:bottom w:w="15" w:type="dxa"/>
            <w:right w:w="15" w:type="dxa"/>
          </w:tblCellMar>
        </w:tblPrEx>
        <w:trPr>
          <w:trHeight w:val="1440" w:hRule="atLeast"/>
          <w:jc w:val="center"/>
        </w:trPr>
        <w:tc>
          <w:tcPr>
            <w:tcW w:w="765" w:type="dxa"/>
            <w:tcBorders>
              <w:top w:val="nil"/>
              <w:left w:val="single" w:color="000000" w:sz="6"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16</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乡村中小学教室亮化工程</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对照国家、省有关要求，全面改造乡村中小学校教室照明灯具，规范安装和使用，确保学生用眼卫生需求。</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2025年，乡村学校教室灯具照明全部符合《山东省学生体质健康促进条例》和国家、省办学条件标准要求。</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县卫健局</w:t>
            </w:r>
          </w:p>
        </w:tc>
      </w:tr>
      <w:tr>
        <w:tblPrEx>
          <w:tblCellMar>
            <w:top w:w="15" w:type="dxa"/>
            <w:left w:w="15" w:type="dxa"/>
            <w:bottom w:w="15" w:type="dxa"/>
            <w:right w:w="15" w:type="dxa"/>
          </w:tblCellMar>
        </w:tblPrEx>
        <w:trPr>
          <w:trHeight w:val="142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17</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乡村幼儿园布局优化行动</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科学合理规划乡村幼儿园，优化公办幼儿园和普惠性民办幼儿园布局。</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2025年，县域内乡镇学前教育公办率和普惠率分别达到50%、98%。</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县委编办</w:t>
            </w:r>
          </w:p>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县发改局</w:t>
            </w:r>
          </w:p>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县资源</w:t>
            </w:r>
            <w:r>
              <w:rPr>
                <w:rFonts w:hint="default" w:ascii="Times New Roman" w:hAnsi="Times New Roman" w:eastAsia="仿宋_GB2312" w:cs="Times New Roman"/>
                <w:color w:val="333333"/>
                <w:szCs w:val="24"/>
                <w:lang w:eastAsia="zh-CN"/>
              </w:rPr>
              <w:t>规划</w:t>
            </w:r>
            <w:r>
              <w:rPr>
                <w:rFonts w:hint="default" w:ascii="Times New Roman" w:hAnsi="Times New Roman" w:eastAsia="仿宋_GB2312" w:cs="Times New Roman"/>
                <w:color w:val="333333"/>
                <w:szCs w:val="24"/>
              </w:rPr>
              <w:t>局</w:t>
            </w:r>
          </w:p>
        </w:tc>
      </w:tr>
      <w:tr>
        <w:tblPrEx>
          <w:tblCellMar>
            <w:top w:w="15" w:type="dxa"/>
            <w:left w:w="15" w:type="dxa"/>
            <w:bottom w:w="15" w:type="dxa"/>
            <w:right w:w="15" w:type="dxa"/>
          </w:tblCellMar>
        </w:tblPrEx>
        <w:trPr>
          <w:trHeight w:val="165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18</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乡村幼儿园规范化建设系列工程</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优化美化幼儿园室内外环境，着重加强安全防护设施建设，配齐配足相应设施设备，加强幼儿园标准化建设。</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2027年，乡镇中心幼儿园全部达到省级示范幼儿园标准，其他乡村公办幼儿园需达到省级二类以上幼儿园类别。</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县发改局</w:t>
            </w:r>
          </w:p>
        </w:tc>
      </w:tr>
      <w:tr>
        <w:tblPrEx>
          <w:tblCellMar>
            <w:top w:w="15" w:type="dxa"/>
            <w:left w:w="15" w:type="dxa"/>
            <w:bottom w:w="15" w:type="dxa"/>
            <w:right w:w="15" w:type="dxa"/>
          </w:tblCellMar>
        </w:tblPrEx>
        <w:trPr>
          <w:trHeight w:val="1195" w:hRule="atLeast"/>
          <w:jc w:val="center"/>
        </w:trPr>
        <w:tc>
          <w:tcPr>
            <w:tcW w:w="765" w:type="dxa"/>
            <w:tcBorders>
              <w:top w:val="single" w:color="auto" w:sz="4" w:space="0"/>
              <w:left w:val="single" w:color="000000" w:sz="6" w:space="0"/>
              <w:bottom w:val="single" w:color="000000" w:sz="6"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19</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乡村幼儿园保教设施配备工程</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按照缺什么补什么的原则，配齐配全保教设施设备，重点突出玩教具、幼儿图书、午休床、餐饮具等，满足乡村幼儿园保教工作需求。</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2027年，乡村幼儿园保教设施设备有效配备，达到省定II类标准并建立维护更新机制。</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insoku/>
              <w:autoSpaceDE/>
              <w:autoSpaceDN/>
              <w:adjustRightInd/>
              <w:snapToGrid/>
              <w:spacing w:line="360" w:lineRule="exact"/>
              <w:rPr>
                <w:rFonts w:hint="default" w:ascii="Times New Roman" w:hAnsi="Times New Roman" w:eastAsia="仿宋_GB2312" w:cs="Times New Roman"/>
                <w:sz w:val="24"/>
                <w:szCs w:val="24"/>
              </w:rPr>
            </w:pPr>
          </w:p>
        </w:tc>
      </w:tr>
      <w:tr>
        <w:tblPrEx>
          <w:tblCellMar>
            <w:top w:w="15" w:type="dxa"/>
            <w:left w:w="15" w:type="dxa"/>
            <w:bottom w:w="15" w:type="dxa"/>
            <w:right w:w="15" w:type="dxa"/>
          </w:tblCellMar>
        </w:tblPrEx>
        <w:trPr>
          <w:trHeight w:val="1781" w:hRule="atLeast"/>
          <w:jc w:val="center"/>
        </w:trPr>
        <w:tc>
          <w:tcPr>
            <w:tcW w:w="765" w:type="dxa"/>
            <w:tcBorders>
              <w:top w:val="nil"/>
              <w:left w:val="single" w:color="000000" w:sz="6"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乡村校（园）长配备工程</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加大城乡校（园）长交流轮岗力度，加大乡村优秀校（园）长队伍建设和储备，将优秀校（园）长配备到乡村。</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2027年，45岁以下乡村学校校长、副校长原则上应达到50%以上、在一所学校任职校长或副校长连续满2个任期的，原则上应进行城乡交流。</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县人社局</w:t>
            </w:r>
          </w:p>
        </w:tc>
      </w:tr>
      <w:tr>
        <w:tblPrEx>
          <w:tblCellMar>
            <w:top w:w="15" w:type="dxa"/>
            <w:left w:w="15" w:type="dxa"/>
            <w:bottom w:w="15" w:type="dxa"/>
            <w:right w:w="15"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21</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乡村骨干校（园）长培训工程</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省级示范、市县为主，围绕学校管理、教学改革、文化建设、评价改革等重点内容，全面开展乡村校（园）长培训。</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2025年，乡村骨干校（园）长接受省级培训比例20%以上；接受市或县级轮训比例达到90%以上。</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insoku/>
              <w:autoSpaceDE/>
              <w:autoSpaceDN/>
              <w:adjustRightInd/>
              <w:snapToGrid/>
              <w:spacing w:line="360" w:lineRule="exact"/>
              <w:rPr>
                <w:rFonts w:hint="default" w:ascii="Times New Roman" w:hAnsi="Times New Roman" w:eastAsia="仿宋_GB2312" w:cs="Times New Roman"/>
                <w:sz w:val="24"/>
                <w:szCs w:val="24"/>
              </w:rPr>
            </w:pPr>
          </w:p>
        </w:tc>
      </w:tr>
      <w:tr>
        <w:tblPrEx>
          <w:tblCellMar>
            <w:top w:w="15" w:type="dxa"/>
            <w:left w:w="15" w:type="dxa"/>
            <w:bottom w:w="15" w:type="dxa"/>
            <w:right w:w="15" w:type="dxa"/>
          </w:tblCellMar>
        </w:tblPrEx>
        <w:trPr>
          <w:trHeight w:val="175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22</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乡村教师</w:t>
            </w:r>
          </w:p>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补充工程</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健全县域内中小学教职工编制和人员动态调整机制，根据学校布局调整、城乡区域人口流动、学生规模变化等，按照倾斜乡村、足额补充原则，为乡村中小学配齐教师。对存在结构性缺员的乡村学校，以学区为单位组织紧缺学科教师走教，明确走教教师补助标准并发放到位。</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2025年，实现乡村编制教师应补尽补，学区“走教”制度普遍建立。</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县委编办</w:t>
            </w:r>
          </w:p>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县人社局</w:t>
            </w:r>
          </w:p>
        </w:tc>
      </w:tr>
      <w:tr>
        <w:tblPrEx>
          <w:tblCellMar>
            <w:top w:w="15" w:type="dxa"/>
            <w:left w:w="15" w:type="dxa"/>
            <w:bottom w:w="15" w:type="dxa"/>
            <w:right w:w="15" w:type="dxa"/>
          </w:tblCellMar>
        </w:tblPrEx>
        <w:trPr>
          <w:trHeight w:val="855" w:hRule="atLeast"/>
          <w:jc w:val="center"/>
        </w:trPr>
        <w:tc>
          <w:tcPr>
            <w:tcW w:w="765" w:type="dxa"/>
            <w:tcBorders>
              <w:top w:val="single" w:color="auto" w:sz="4" w:space="0"/>
              <w:left w:val="single" w:color="000000" w:sz="6" w:space="0"/>
              <w:bottom w:val="single" w:color="000000" w:sz="6"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23</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大学生实习支教计划</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每年选派一批优秀师范类在校大学生，到乡村学校开展实习支教。</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至2027年，根据上级要求安排实习支教大学生全部到乡村学校。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insoku/>
              <w:autoSpaceDE/>
              <w:autoSpaceDN/>
              <w:adjustRightInd/>
              <w:snapToGrid/>
              <w:spacing w:line="360" w:lineRule="exact"/>
              <w:rPr>
                <w:rFonts w:hint="default" w:ascii="Times New Roman" w:hAnsi="Times New Roman" w:eastAsia="仿宋_GB2312" w:cs="Times New Roman"/>
                <w:sz w:val="24"/>
                <w:szCs w:val="24"/>
              </w:rPr>
            </w:pPr>
          </w:p>
        </w:tc>
      </w:tr>
      <w:tr>
        <w:tblPrEx>
          <w:tblCellMar>
            <w:top w:w="15" w:type="dxa"/>
            <w:left w:w="15" w:type="dxa"/>
            <w:bottom w:w="15" w:type="dxa"/>
            <w:right w:w="15" w:type="dxa"/>
          </w:tblCellMar>
        </w:tblPrEx>
        <w:trPr>
          <w:trHeight w:val="1095" w:hRule="atLeast"/>
          <w:jc w:val="center"/>
        </w:trPr>
        <w:tc>
          <w:tcPr>
            <w:tcW w:w="765" w:type="dxa"/>
            <w:tcBorders>
              <w:top w:val="nil"/>
              <w:left w:val="single" w:color="000000" w:sz="6"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24</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乡村幼儿园教师配备计划</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用好现有编制和聘用政策，为乡村公办幼儿园补充聘任高质量幼儿教师。</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至2027年，乡镇公办幼儿园在编教师比例逐年提升。</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县委编办</w:t>
            </w:r>
          </w:p>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县人社局</w:t>
            </w:r>
          </w:p>
        </w:tc>
      </w:tr>
      <w:tr>
        <w:tblPrEx>
          <w:tblCellMar>
            <w:top w:w="15" w:type="dxa"/>
            <w:left w:w="15" w:type="dxa"/>
            <w:bottom w:w="15" w:type="dxa"/>
            <w:right w:w="15" w:type="dxa"/>
          </w:tblCellMar>
        </w:tblPrEx>
        <w:trPr>
          <w:trHeight w:val="130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25</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城乡教师聘期交流捆绑制度建设</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深化“县管校聘”管理改革，探索建立义务教育学校教师乡村服务期制度，实行新任职教师城乡学校两个聘期捆绑聘用制度。</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2025年，新任职教师城乡学校两个聘期捆绑聘用制度基本建立。</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县人社局</w:t>
            </w:r>
          </w:p>
        </w:tc>
      </w:tr>
      <w:tr>
        <w:tblPrEx>
          <w:tblCellMar>
            <w:top w:w="15" w:type="dxa"/>
            <w:left w:w="15" w:type="dxa"/>
            <w:bottom w:w="15" w:type="dxa"/>
            <w:right w:w="15" w:type="dxa"/>
          </w:tblCellMar>
        </w:tblPrEx>
        <w:trPr>
          <w:trHeight w:val="204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26</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新时代基础教育教师学历提升计划</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深入实施教师学历提升行动，支持和鼓励乡村中小学、幼儿园教师提升学历层次。</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乡村中小学本科及以上学历教师、幼儿园专科及以上学历教师比例逐步提升，2027年城市与农村义务教育教师本科及以上学历比例之比降至1.05以内。</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县人社局</w:t>
            </w:r>
          </w:p>
        </w:tc>
      </w:tr>
      <w:tr>
        <w:tblPrEx>
          <w:tblCellMar>
            <w:top w:w="15" w:type="dxa"/>
            <w:left w:w="15" w:type="dxa"/>
            <w:bottom w:w="15" w:type="dxa"/>
            <w:right w:w="15" w:type="dxa"/>
          </w:tblCellMar>
        </w:tblPrEx>
        <w:trPr>
          <w:trHeight w:val="1410" w:hRule="atLeast"/>
          <w:jc w:val="center"/>
        </w:trPr>
        <w:tc>
          <w:tcPr>
            <w:tcW w:w="765" w:type="dxa"/>
            <w:tcBorders>
              <w:top w:val="single" w:color="auto" w:sz="4" w:space="0"/>
              <w:left w:val="single" w:color="000000" w:sz="6" w:space="0"/>
              <w:bottom w:val="single" w:color="000000" w:sz="6"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27</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开展教师教育协同创新试点</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切实发挥县域教师教育协同创新试点县作用，形成基于校本，立足岗位的教师专业发展新模式，推动区域内城乡教师协同发展，全面提升乡村教师队伍整体素质。</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积极争创县域教师教育协同创新试点县。</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县人社局</w:t>
            </w:r>
          </w:p>
        </w:tc>
      </w:tr>
      <w:tr>
        <w:tblPrEx>
          <w:tblCellMar>
            <w:top w:w="15" w:type="dxa"/>
            <w:left w:w="15" w:type="dxa"/>
            <w:bottom w:w="15" w:type="dxa"/>
            <w:right w:w="15" w:type="dxa"/>
          </w:tblCellMar>
        </w:tblPrEx>
        <w:trPr>
          <w:trHeight w:val="1495" w:hRule="atLeast"/>
          <w:jc w:val="center"/>
        </w:trPr>
        <w:tc>
          <w:tcPr>
            <w:tcW w:w="765" w:type="dxa"/>
            <w:tcBorders>
              <w:top w:val="nil"/>
              <w:left w:val="single" w:color="000000" w:sz="6"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28</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实施乡村优秀青年教师培养奖励计划</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每年遴选推荐一批青年骨干教师和乡村优秀青年教师培养奖励。</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“十四五”期间，遴选推荐一批青年骨干教师参与乡村优秀青年教师培养奖励。</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insoku/>
              <w:autoSpaceDE/>
              <w:autoSpaceDN/>
              <w:adjustRightInd/>
              <w:snapToGrid/>
              <w:spacing w:line="360" w:lineRule="exact"/>
              <w:rPr>
                <w:rFonts w:hint="default" w:ascii="Times New Roman" w:hAnsi="Times New Roman" w:eastAsia="仿宋_GB2312" w:cs="Times New Roman"/>
                <w:sz w:val="24"/>
                <w:szCs w:val="24"/>
              </w:rPr>
            </w:pPr>
          </w:p>
        </w:tc>
      </w:tr>
      <w:tr>
        <w:tblPrEx>
          <w:tblCellMar>
            <w:top w:w="15" w:type="dxa"/>
            <w:left w:w="15" w:type="dxa"/>
            <w:bottom w:w="15" w:type="dxa"/>
            <w:right w:w="15" w:type="dxa"/>
          </w:tblCellMar>
        </w:tblPrEx>
        <w:trPr>
          <w:trHeight w:val="174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29</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乡村教师住房改善计划</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支持将符合条件的乡村教师周转宿舍纳入保障性租赁住房。持续推进乡村教师周转宿舍建设，对取暖消暑、卫生洗浴等条件薄弱周转宿舍进行改善。</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“十四五”期间，根据需要新建或改造提升乡村教师周转宿舍。</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县发改局</w:t>
            </w:r>
          </w:p>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县资源</w:t>
            </w:r>
            <w:r>
              <w:rPr>
                <w:rFonts w:hint="default" w:ascii="Times New Roman" w:hAnsi="Times New Roman" w:eastAsia="仿宋_GB2312" w:cs="Times New Roman"/>
                <w:color w:val="333333"/>
                <w:szCs w:val="24"/>
                <w:lang w:eastAsia="zh-CN"/>
              </w:rPr>
              <w:t>规划</w:t>
            </w:r>
            <w:r>
              <w:rPr>
                <w:rFonts w:hint="default" w:ascii="Times New Roman" w:hAnsi="Times New Roman" w:eastAsia="仿宋_GB2312" w:cs="Times New Roman"/>
                <w:color w:val="333333"/>
                <w:szCs w:val="24"/>
              </w:rPr>
              <w:t>局</w:t>
            </w:r>
          </w:p>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县住建局</w:t>
            </w:r>
          </w:p>
        </w:tc>
      </w:tr>
      <w:tr>
        <w:tblPrEx>
          <w:tblCellMar>
            <w:top w:w="15" w:type="dxa"/>
            <w:left w:w="15" w:type="dxa"/>
            <w:bottom w:w="15" w:type="dxa"/>
            <w:right w:w="15" w:type="dxa"/>
          </w:tblCellMar>
        </w:tblPrEx>
        <w:trPr>
          <w:trHeight w:val="1504"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30</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乡村名师、名校（园）长培树工程</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加强乡村名师队伍建设，在市县两级名师建设中单列指标名额，培育一批乡村名师、名校（园）长。</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至2027年，每个培养周期内，乡村名师、名校长</w:t>
            </w:r>
            <w:r>
              <w:rPr>
                <w:rFonts w:hint="default" w:ascii="Times New Roman" w:hAnsi="Times New Roman" w:eastAsia="仿宋_GB2312" w:cs="Times New Roman"/>
                <w:color w:val="333333"/>
                <w:szCs w:val="24"/>
                <w:lang w:eastAsia="zh-CN"/>
              </w:rPr>
              <w:t>（园）</w:t>
            </w:r>
            <w:r>
              <w:rPr>
                <w:rFonts w:hint="default" w:ascii="Times New Roman" w:hAnsi="Times New Roman" w:eastAsia="仿宋_GB2312" w:cs="Times New Roman"/>
                <w:color w:val="333333"/>
                <w:szCs w:val="24"/>
              </w:rPr>
              <w:t>在市级培养计划中所占比例不低于20%。</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insoku/>
              <w:autoSpaceDE/>
              <w:autoSpaceDN/>
              <w:adjustRightInd/>
              <w:snapToGrid/>
              <w:spacing w:line="360" w:lineRule="exact"/>
              <w:rPr>
                <w:rFonts w:hint="default" w:ascii="Times New Roman" w:hAnsi="Times New Roman" w:eastAsia="仿宋_GB2312" w:cs="Times New Roman"/>
                <w:sz w:val="24"/>
                <w:szCs w:val="24"/>
              </w:rPr>
            </w:pPr>
          </w:p>
        </w:tc>
      </w:tr>
      <w:tr>
        <w:tblPrEx>
          <w:tblCellMar>
            <w:top w:w="15" w:type="dxa"/>
            <w:left w:w="15" w:type="dxa"/>
            <w:bottom w:w="15" w:type="dxa"/>
            <w:right w:w="15" w:type="dxa"/>
          </w:tblCellMar>
        </w:tblPrEx>
        <w:trPr>
          <w:trHeight w:val="1560" w:hRule="atLeast"/>
          <w:jc w:val="center"/>
        </w:trPr>
        <w:tc>
          <w:tcPr>
            <w:tcW w:w="765" w:type="dxa"/>
            <w:tcBorders>
              <w:top w:val="single" w:color="auto" w:sz="4" w:space="0"/>
              <w:left w:val="single" w:color="000000" w:sz="6"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31</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城乡教育协作发展共同体建设</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以教育强校扩优行动为抓手，深入推进城区优质学校与乡村学校结对，开展教学管理、课程教研、师资交流、文化建设、评价改革等系列共建共享活动，抬高乡村学校发展起点。</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2025年，公办学校、幼儿园区域结对全覆盖。</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insoku/>
              <w:autoSpaceDE/>
              <w:autoSpaceDN/>
              <w:adjustRightInd/>
              <w:snapToGrid/>
              <w:spacing w:line="360" w:lineRule="exact"/>
              <w:rPr>
                <w:rFonts w:hint="default" w:ascii="Times New Roman" w:hAnsi="Times New Roman" w:eastAsia="仿宋_GB2312" w:cs="Times New Roman"/>
                <w:sz w:val="24"/>
                <w:szCs w:val="24"/>
              </w:rPr>
            </w:pPr>
          </w:p>
        </w:tc>
      </w:tr>
      <w:tr>
        <w:tblPrEx>
          <w:tblCellMar>
            <w:top w:w="15" w:type="dxa"/>
            <w:left w:w="15" w:type="dxa"/>
            <w:bottom w:w="15" w:type="dxa"/>
            <w:right w:w="15" w:type="dxa"/>
          </w:tblCellMar>
        </w:tblPrEx>
        <w:trPr>
          <w:trHeight w:val="1367"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32</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乡村学校名师工作室建设</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完善支持措施，鼓励城区名师、学科带头人在乡村学校、幼儿园建立工作室，带动乡村学校、幼儿园相关学科领域、管理领域教师开展教学研究、研讨交流。</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2025年，实现名师工作室乡镇全覆盖。</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insoku/>
              <w:autoSpaceDE/>
              <w:autoSpaceDN/>
              <w:adjustRightInd/>
              <w:snapToGrid/>
              <w:spacing w:line="360" w:lineRule="exact"/>
              <w:rPr>
                <w:rFonts w:hint="default" w:ascii="Times New Roman" w:hAnsi="Times New Roman" w:eastAsia="仿宋_GB2312" w:cs="Times New Roman"/>
                <w:sz w:val="24"/>
                <w:szCs w:val="24"/>
              </w:rPr>
            </w:pPr>
          </w:p>
        </w:tc>
      </w:tr>
      <w:tr>
        <w:tblPrEx>
          <w:tblCellMar>
            <w:top w:w="15" w:type="dxa"/>
            <w:left w:w="15" w:type="dxa"/>
            <w:bottom w:w="15" w:type="dxa"/>
            <w:right w:w="15" w:type="dxa"/>
          </w:tblCellMar>
        </w:tblPrEx>
        <w:trPr>
          <w:trHeight w:val="1479"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33</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各级教研员和骨干教师联系乡村学校制度</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组织指导教研员和骨干教师，与乡村学校建立定点结对关系，定期深入乡村学校指导教育教学。</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2024年，</w:t>
            </w:r>
            <w:r>
              <w:rPr>
                <w:rFonts w:hint="default" w:ascii="Times New Roman" w:hAnsi="Times New Roman" w:eastAsia="仿宋_GB2312" w:cs="Times New Roman"/>
                <w:color w:val="auto"/>
                <w:szCs w:val="24"/>
              </w:rPr>
              <w:t>每位教研员和骨干教师至少联系1所乡村学校。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insoku/>
              <w:autoSpaceDE/>
              <w:autoSpaceDN/>
              <w:adjustRightInd/>
              <w:snapToGrid/>
              <w:spacing w:line="360" w:lineRule="exact"/>
              <w:rPr>
                <w:rFonts w:hint="default" w:ascii="Times New Roman" w:hAnsi="Times New Roman" w:eastAsia="仿宋_GB2312" w:cs="Times New Roman"/>
                <w:sz w:val="24"/>
                <w:szCs w:val="24"/>
              </w:rPr>
            </w:pPr>
          </w:p>
        </w:tc>
      </w:tr>
      <w:tr>
        <w:tblPrEx>
          <w:tblCellMar>
            <w:top w:w="15" w:type="dxa"/>
            <w:left w:w="15" w:type="dxa"/>
            <w:bottom w:w="15" w:type="dxa"/>
            <w:right w:w="15"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34</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高校科研院所支持乡村学校建设</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积极协调高等院校、科研院所、社会组织等通过建立实习培训、教科研基地多种方式支持乡村学校办学。</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2025年覆盖全县30%以上乡村公办中小学、幼儿园；丰富乡村学校（幼儿园）育人资源、多渠道扩展乡村学生素质发展平台。</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县科技局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p>
        </w:tc>
      </w:tr>
      <w:tr>
        <w:tblPrEx>
          <w:tblCellMar>
            <w:top w:w="15" w:type="dxa"/>
            <w:left w:w="15" w:type="dxa"/>
            <w:bottom w:w="15" w:type="dxa"/>
            <w:right w:w="15" w:type="dxa"/>
          </w:tblCellMar>
        </w:tblPrEx>
        <w:trPr>
          <w:jc w:val="center"/>
        </w:trPr>
        <w:tc>
          <w:tcPr>
            <w:tcW w:w="765" w:type="dxa"/>
            <w:tcBorders>
              <w:top w:val="single" w:color="auto" w:sz="4" w:space="0"/>
              <w:left w:val="single" w:color="000000" w:sz="6"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35</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县域普通高中发展提升计划</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深化高中招生管理和教育教学改革，扩大县域高中优质教育资源，全面提高教育质量，促进普通高中协调发展。实施高中强科培优计划，鼓励高中学校建设省级学科基地，推动高中特色多样办学。</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eastAsia" w:ascii="Times New Roman" w:hAnsi="Times New Roman" w:eastAsia="仿宋_GB2312" w:cs="Times New Roman"/>
                <w:color w:val="333333"/>
                <w:szCs w:val="24"/>
                <w:lang w:eastAsia="zh-CN"/>
              </w:rPr>
              <w:t>到</w:t>
            </w:r>
            <w:r>
              <w:rPr>
                <w:rFonts w:hint="default" w:ascii="Times New Roman" w:hAnsi="Times New Roman" w:eastAsia="仿宋_GB2312" w:cs="Times New Roman"/>
                <w:color w:val="333333"/>
                <w:szCs w:val="24"/>
              </w:rPr>
              <w:t>2025年，建设至少1个省级或市级普通高中学科基地，高中学校特色多样发展水平显著提升，对乡村教育发展拉动示范效应明显。</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insoku/>
              <w:autoSpaceDE/>
              <w:autoSpaceDN/>
              <w:adjustRightInd/>
              <w:snapToGrid/>
              <w:spacing w:line="360" w:lineRule="exact"/>
              <w:rPr>
                <w:rFonts w:hint="default" w:ascii="Times New Roman" w:hAnsi="Times New Roman" w:eastAsia="仿宋_GB2312" w:cs="Times New Roman"/>
                <w:sz w:val="24"/>
                <w:szCs w:val="24"/>
              </w:rPr>
            </w:pPr>
          </w:p>
        </w:tc>
      </w:tr>
      <w:tr>
        <w:tblPrEx>
          <w:tblCellMar>
            <w:top w:w="15" w:type="dxa"/>
            <w:left w:w="15" w:type="dxa"/>
            <w:bottom w:w="15" w:type="dxa"/>
            <w:right w:w="15" w:type="dxa"/>
          </w:tblCellMar>
        </w:tblPrEx>
        <w:trPr>
          <w:trHeight w:val="278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36</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乡村学校课程教学改革</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发挥乡土文化优势禀赋，指导学校开发特色校本课程，广泛开展特色活动、特色社团、特色项目建设。大力推进乡村学校基于“互联网+”环境下教与学模式改革，加强以同步课堂应用模式为基础，融合专递课堂、名师课堂、名校网络课堂等模式在乡村学校的应用。</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2027年，乡村学校（幼儿园）形成特色课程“一校（园）一品”，每年遴选推荐一批乡村学校特色精品示范课程（案例）。形成具有兰陵特色的乡村学校课程教学信息化技术应用模式。</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insoku/>
              <w:autoSpaceDE/>
              <w:autoSpaceDN/>
              <w:adjustRightInd/>
              <w:snapToGrid/>
              <w:spacing w:line="360" w:lineRule="exact"/>
              <w:rPr>
                <w:rFonts w:hint="default" w:ascii="Times New Roman" w:hAnsi="Times New Roman" w:eastAsia="仿宋_GB2312" w:cs="Times New Roman"/>
                <w:sz w:val="24"/>
                <w:szCs w:val="24"/>
              </w:rPr>
            </w:pPr>
          </w:p>
        </w:tc>
      </w:tr>
      <w:tr>
        <w:tblPrEx>
          <w:tblCellMar>
            <w:top w:w="15" w:type="dxa"/>
            <w:left w:w="15" w:type="dxa"/>
            <w:bottom w:w="15" w:type="dxa"/>
            <w:right w:w="15" w:type="dxa"/>
          </w:tblCellMar>
        </w:tblPrEx>
        <w:trPr>
          <w:trHeight w:val="165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37</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乡村学生进城拓展视野计划</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结合中小学生研学旅行和校外实践教育活动实施，鼓励社会公益组织、热心企业参与，广泛组织乡村学生到科博场馆、院校机构、现代化企业等青少年校外实践活动场所开展实践体验活动，开拓乡村学生视野。</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2027年，实现每个乡村学生小学、初中学段内均享受一次有质量的“进城拓展视野”机会。</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insoku/>
              <w:autoSpaceDE/>
              <w:autoSpaceDN/>
              <w:adjustRightInd/>
              <w:snapToGrid/>
              <w:spacing w:line="360" w:lineRule="exact"/>
              <w:rPr>
                <w:rFonts w:hint="default" w:ascii="Times New Roman" w:hAnsi="Times New Roman" w:eastAsia="仿宋_GB2312" w:cs="Times New Roman"/>
                <w:sz w:val="24"/>
                <w:szCs w:val="24"/>
              </w:rPr>
            </w:pPr>
          </w:p>
        </w:tc>
      </w:tr>
      <w:tr>
        <w:tblPrEx>
          <w:tblCellMar>
            <w:top w:w="15" w:type="dxa"/>
            <w:left w:w="15" w:type="dxa"/>
            <w:bottom w:w="15" w:type="dxa"/>
            <w:right w:w="15" w:type="dxa"/>
          </w:tblCellMar>
        </w:tblPrEx>
        <w:trPr>
          <w:trHeight w:val="1370" w:hRule="atLeast"/>
          <w:jc w:val="center"/>
        </w:trPr>
        <w:tc>
          <w:tcPr>
            <w:tcW w:w="765" w:type="dxa"/>
            <w:tcBorders>
              <w:top w:val="single" w:color="auto" w:sz="4" w:space="0"/>
              <w:left w:val="single" w:color="000000" w:sz="6"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38</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乡村学校劳动实践场所建设工程</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发挥乡土特色和乡村土地资源优势，综合采取自建、租用等模式，广泛建设学生劳动实践场所。</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2025年，所有乡村学校（幼儿园）全部建成一处劳动实践场所。</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insoku/>
              <w:autoSpaceDE/>
              <w:autoSpaceDN/>
              <w:adjustRightInd/>
              <w:snapToGrid/>
              <w:spacing w:line="360" w:lineRule="exact"/>
              <w:rPr>
                <w:rFonts w:hint="default" w:ascii="Times New Roman" w:hAnsi="Times New Roman" w:eastAsia="仿宋_GB2312" w:cs="Times New Roman"/>
                <w:sz w:val="24"/>
                <w:szCs w:val="24"/>
              </w:rPr>
            </w:pPr>
          </w:p>
        </w:tc>
      </w:tr>
      <w:tr>
        <w:tblPrEx>
          <w:tblCellMar>
            <w:top w:w="15" w:type="dxa"/>
            <w:left w:w="15" w:type="dxa"/>
            <w:bottom w:w="15" w:type="dxa"/>
            <w:right w:w="15" w:type="dxa"/>
          </w:tblCellMar>
        </w:tblPrEx>
        <w:trPr>
          <w:trHeight w:val="188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39</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乡村中小学信息化建设工程</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全面提升乡村学校宽带容量，乡镇驻地学校建设至少一处高标准录播教室，教室多媒体设备、信息化教学设备及时更新维护。鼓励有条件的地方开展高标准信息化教学设施配备和信息化教学手段应用探索。</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2025年，全部实现“千兆进校、百兆进班”，乡村学校教育信息化技术应用达到较高水平。</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insoku/>
              <w:autoSpaceDE/>
              <w:autoSpaceDN/>
              <w:adjustRightInd/>
              <w:snapToGrid/>
              <w:spacing w:line="360" w:lineRule="exact"/>
              <w:rPr>
                <w:rFonts w:hint="default" w:ascii="Times New Roman" w:hAnsi="Times New Roman" w:eastAsia="仿宋_GB2312" w:cs="Times New Roman"/>
                <w:sz w:val="24"/>
                <w:szCs w:val="24"/>
              </w:rPr>
            </w:pPr>
          </w:p>
        </w:tc>
      </w:tr>
      <w:tr>
        <w:tblPrEx>
          <w:tblCellMar>
            <w:top w:w="15" w:type="dxa"/>
            <w:left w:w="15" w:type="dxa"/>
            <w:bottom w:w="15" w:type="dxa"/>
            <w:right w:w="15" w:type="dxa"/>
          </w:tblCellMar>
        </w:tblPrEx>
        <w:trPr>
          <w:trHeight w:val="206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40</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农村困境儿童关爱工程</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形成部门联合工作机制，加强场所阵地和制度建设，动态掌握困境儿童底数，围绕控辍保学、教育关爱、生活关爱、身心安全监管等开展常态化关爱行动。</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2025年，农村贫困家庭适龄儿童失学辍学保持“常态清零”；农村留守儿童关爱室建设全覆盖。到2024年依托设在乡镇的小学和初中实现乡镇特殊教育资源中心（室）全覆盖。</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县民政局</w:t>
            </w:r>
          </w:p>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县卫健局</w:t>
            </w:r>
          </w:p>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县残联</w:t>
            </w:r>
          </w:p>
        </w:tc>
      </w:tr>
      <w:tr>
        <w:tblPrEx>
          <w:tblCellMar>
            <w:top w:w="15" w:type="dxa"/>
            <w:left w:w="15" w:type="dxa"/>
            <w:bottom w:w="15" w:type="dxa"/>
            <w:right w:w="15" w:type="dxa"/>
          </w:tblCellMar>
        </w:tblPrEx>
        <w:trPr>
          <w:trHeight w:val="165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41</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改革乡村学校（幼儿园）评价制度</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坚持以县为主、因地制宜、一镇一策、一校一案，突出乡土特色、校本特色、五育并举、群众满意，改革对镇域教育发展、乡村中小学、幼儿园发展评价方案，扭转唯成绩、唯升学导向。</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坚持“标准+特色”，建立乡村教育科学化、个性化、针对性评价体系，激发乡村教育发展动力、活力。</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insoku/>
              <w:autoSpaceDE/>
              <w:autoSpaceDN/>
              <w:adjustRightInd/>
              <w:snapToGrid/>
              <w:spacing w:line="360" w:lineRule="exact"/>
              <w:rPr>
                <w:rFonts w:hint="default" w:ascii="Times New Roman" w:hAnsi="Times New Roman" w:eastAsia="仿宋_GB2312" w:cs="Times New Roman"/>
                <w:sz w:val="24"/>
                <w:szCs w:val="24"/>
              </w:rPr>
            </w:pPr>
          </w:p>
        </w:tc>
      </w:tr>
      <w:tr>
        <w:tblPrEx>
          <w:tblCellMar>
            <w:top w:w="15" w:type="dxa"/>
            <w:left w:w="15" w:type="dxa"/>
            <w:bottom w:w="15" w:type="dxa"/>
            <w:right w:w="15" w:type="dxa"/>
          </w:tblCellMar>
        </w:tblPrEx>
        <w:trPr>
          <w:trHeight w:val="159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42</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jc w:val="center"/>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乡村教育发展研究平台建设</w:t>
            </w:r>
          </w:p>
        </w:tc>
        <w:tc>
          <w:tcPr>
            <w:tcW w:w="55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依托临沂市教育科学研究院和临沂大学教育学院等建立乡村教育发展研究平台，增配专业力量，对乡村教育发展重点问题开展研究，对乡村学校和幼儿园质量发展、队伍建设、课程教研进行诊断、评价、指导。</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建强乡村教育发展研究力量，提升我县乡村教育研究水平。</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r>
              <w:rPr>
                <w:rFonts w:hint="default" w:ascii="Times New Roman" w:hAnsi="Times New Roman" w:eastAsia="仿宋_GB2312" w:cs="Times New Roman"/>
                <w:color w:val="333333"/>
                <w:szCs w:val="24"/>
              </w:rPr>
              <w:t>县教体局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kinsoku/>
              <w:autoSpaceDE/>
              <w:autoSpaceDN/>
              <w:adjustRightInd/>
              <w:snapToGrid/>
              <w:spacing w:beforeAutospacing="0" w:afterAutospacing="0" w:line="360" w:lineRule="exact"/>
              <w:textAlignment w:val="top"/>
              <w:rPr>
                <w:rFonts w:hint="default" w:ascii="Times New Roman" w:hAnsi="Times New Roman" w:eastAsia="仿宋_GB2312" w:cs="Times New Roman"/>
                <w:color w:val="333333"/>
                <w:szCs w:val="24"/>
              </w:rPr>
            </w:pPr>
          </w:p>
        </w:tc>
      </w:tr>
    </w:tbl>
    <w:p>
      <w:pPr>
        <w:spacing w:line="240" w:lineRule="auto"/>
        <w:rPr>
          <w:rFonts w:hint="default" w:ascii="Times New Roman" w:hAnsi="Times New Roman" w:eastAsia="仿宋_GB2312" w:cs="Times New Roman"/>
          <w:sz w:val="28"/>
          <w:szCs w:val="28"/>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7710FF-5E40-457B-81B7-F7AF67F641A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73F8EFA9-9807-4AA3-B8FC-54066AE803C5}"/>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F0841311-E909-49D3-844F-F5AE99931A2D}"/>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9656545E-3230-49F6-940A-ED33C8ACCD78}"/>
  </w:font>
  <w:font w:name="楷体">
    <w:panose1 w:val="02010609060101010101"/>
    <w:charset w:val="86"/>
    <w:family w:val="modern"/>
    <w:pitch w:val="default"/>
    <w:sig w:usb0="800002BF" w:usb1="38CF7CFA" w:usb2="00000016" w:usb3="00000000" w:csb0="00040001" w:csb1="00000000"/>
    <w:embedRegular r:id="rId5" w:fontKey="{7E70BAB7-6788-48A1-973A-674873A79176}"/>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NGQwMWNiOTliZTQ3NWU2YzE3NmQwZGQ2YzQ1NjIifQ=="/>
  </w:docVars>
  <w:rsids>
    <w:rsidRoot w:val="2CAF2D45"/>
    <w:rsid w:val="00294B9C"/>
    <w:rsid w:val="003A1F31"/>
    <w:rsid w:val="005A2040"/>
    <w:rsid w:val="00EB6C42"/>
    <w:rsid w:val="00FF6F6A"/>
    <w:rsid w:val="01634176"/>
    <w:rsid w:val="017F6F6F"/>
    <w:rsid w:val="01A85DEC"/>
    <w:rsid w:val="01C020C4"/>
    <w:rsid w:val="03130D86"/>
    <w:rsid w:val="034D6BB0"/>
    <w:rsid w:val="03B2322E"/>
    <w:rsid w:val="03B50374"/>
    <w:rsid w:val="04514D6A"/>
    <w:rsid w:val="04E6078F"/>
    <w:rsid w:val="04EB5F8C"/>
    <w:rsid w:val="04F37E10"/>
    <w:rsid w:val="055F0CEC"/>
    <w:rsid w:val="05B607CF"/>
    <w:rsid w:val="05D85A35"/>
    <w:rsid w:val="064E6EC7"/>
    <w:rsid w:val="0731563E"/>
    <w:rsid w:val="079B09AA"/>
    <w:rsid w:val="079D2599"/>
    <w:rsid w:val="07C43072"/>
    <w:rsid w:val="084A0EA6"/>
    <w:rsid w:val="088650B2"/>
    <w:rsid w:val="097529BD"/>
    <w:rsid w:val="0A890E33"/>
    <w:rsid w:val="0AA23C86"/>
    <w:rsid w:val="0E0407B3"/>
    <w:rsid w:val="0F2E7540"/>
    <w:rsid w:val="0F476BAA"/>
    <w:rsid w:val="10692007"/>
    <w:rsid w:val="10C31D75"/>
    <w:rsid w:val="11145A20"/>
    <w:rsid w:val="116C3D4A"/>
    <w:rsid w:val="11C41DE7"/>
    <w:rsid w:val="123761CA"/>
    <w:rsid w:val="13714EA5"/>
    <w:rsid w:val="13E759FA"/>
    <w:rsid w:val="153937A7"/>
    <w:rsid w:val="15DE60E4"/>
    <w:rsid w:val="16051DF0"/>
    <w:rsid w:val="16A576FF"/>
    <w:rsid w:val="1742432E"/>
    <w:rsid w:val="17946704"/>
    <w:rsid w:val="17A80FA6"/>
    <w:rsid w:val="187D2139"/>
    <w:rsid w:val="19422FFB"/>
    <w:rsid w:val="1A8B55EF"/>
    <w:rsid w:val="1D752371"/>
    <w:rsid w:val="1DCC309C"/>
    <w:rsid w:val="1DEA7E19"/>
    <w:rsid w:val="1EAD48D7"/>
    <w:rsid w:val="1FE920FD"/>
    <w:rsid w:val="20BB5EEA"/>
    <w:rsid w:val="226E2973"/>
    <w:rsid w:val="22910410"/>
    <w:rsid w:val="231C71CE"/>
    <w:rsid w:val="232B5A8E"/>
    <w:rsid w:val="233D15E0"/>
    <w:rsid w:val="23791724"/>
    <w:rsid w:val="238423C2"/>
    <w:rsid w:val="24115693"/>
    <w:rsid w:val="24AF6C88"/>
    <w:rsid w:val="254E55B3"/>
    <w:rsid w:val="26DC78BD"/>
    <w:rsid w:val="26FC67C3"/>
    <w:rsid w:val="27284903"/>
    <w:rsid w:val="280F335D"/>
    <w:rsid w:val="28D85FEA"/>
    <w:rsid w:val="291E67ED"/>
    <w:rsid w:val="292E4548"/>
    <w:rsid w:val="29565F0F"/>
    <w:rsid w:val="29583F9A"/>
    <w:rsid w:val="29C90577"/>
    <w:rsid w:val="2A106366"/>
    <w:rsid w:val="2A28059D"/>
    <w:rsid w:val="2AE97340"/>
    <w:rsid w:val="2C044E2C"/>
    <w:rsid w:val="2C1638CB"/>
    <w:rsid w:val="2CAF2D45"/>
    <w:rsid w:val="2CC132A8"/>
    <w:rsid w:val="2D8D3ECA"/>
    <w:rsid w:val="30835A8D"/>
    <w:rsid w:val="30AA656E"/>
    <w:rsid w:val="31CD20C2"/>
    <w:rsid w:val="31D555B8"/>
    <w:rsid w:val="326D4713"/>
    <w:rsid w:val="333D5394"/>
    <w:rsid w:val="33F00D0E"/>
    <w:rsid w:val="34D842F4"/>
    <w:rsid w:val="350B68E4"/>
    <w:rsid w:val="355359F9"/>
    <w:rsid w:val="35863771"/>
    <w:rsid w:val="358656F7"/>
    <w:rsid w:val="35C07B1F"/>
    <w:rsid w:val="378D5AE2"/>
    <w:rsid w:val="37C20C29"/>
    <w:rsid w:val="38312A9E"/>
    <w:rsid w:val="38DF4F10"/>
    <w:rsid w:val="38EE3E53"/>
    <w:rsid w:val="39013F83"/>
    <w:rsid w:val="3976413E"/>
    <w:rsid w:val="39900671"/>
    <w:rsid w:val="3AA90CC5"/>
    <w:rsid w:val="3BFA4E20"/>
    <w:rsid w:val="3C500CC1"/>
    <w:rsid w:val="3C5E638C"/>
    <w:rsid w:val="3C7A28D6"/>
    <w:rsid w:val="3CA13979"/>
    <w:rsid w:val="3CEC49CB"/>
    <w:rsid w:val="3E95717F"/>
    <w:rsid w:val="3EEF7067"/>
    <w:rsid w:val="3FB73C85"/>
    <w:rsid w:val="3FD11DF9"/>
    <w:rsid w:val="3FF11A91"/>
    <w:rsid w:val="40F609F5"/>
    <w:rsid w:val="41B729D5"/>
    <w:rsid w:val="41F636B6"/>
    <w:rsid w:val="43571F15"/>
    <w:rsid w:val="43A90307"/>
    <w:rsid w:val="43B77E37"/>
    <w:rsid w:val="440C2CE3"/>
    <w:rsid w:val="443F7636"/>
    <w:rsid w:val="459E67F1"/>
    <w:rsid w:val="45B660D5"/>
    <w:rsid w:val="46A34B95"/>
    <w:rsid w:val="48C000DF"/>
    <w:rsid w:val="49992BE4"/>
    <w:rsid w:val="4B3C219A"/>
    <w:rsid w:val="4B555E3E"/>
    <w:rsid w:val="4D64629D"/>
    <w:rsid w:val="4EB43DC4"/>
    <w:rsid w:val="4EDA1EEF"/>
    <w:rsid w:val="4EEF44CD"/>
    <w:rsid w:val="4EFE6DB3"/>
    <w:rsid w:val="4F5C628E"/>
    <w:rsid w:val="4FEA3DAB"/>
    <w:rsid w:val="507708FF"/>
    <w:rsid w:val="512A7413"/>
    <w:rsid w:val="51A776A2"/>
    <w:rsid w:val="51E66892"/>
    <w:rsid w:val="527B4BDE"/>
    <w:rsid w:val="528D75CE"/>
    <w:rsid w:val="52967CF7"/>
    <w:rsid w:val="529A6126"/>
    <w:rsid w:val="52C02223"/>
    <w:rsid w:val="531D3476"/>
    <w:rsid w:val="53320F49"/>
    <w:rsid w:val="53F02939"/>
    <w:rsid w:val="54CB7B55"/>
    <w:rsid w:val="55A76835"/>
    <w:rsid w:val="560D5170"/>
    <w:rsid w:val="562E482B"/>
    <w:rsid w:val="56315AF5"/>
    <w:rsid w:val="56C847BF"/>
    <w:rsid w:val="573A7AFF"/>
    <w:rsid w:val="58346B6C"/>
    <w:rsid w:val="58C76981"/>
    <w:rsid w:val="5A13112F"/>
    <w:rsid w:val="5A4614EB"/>
    <w:rsid w:val="5A837B11"/>
    <w:rsid w:val="5AD14A5C"/>
    <w:rsid w:val="5ADE798F"/>
    <w:rsid w:val="5BDC0D4A"/>
    <w:rsid w:val="5CD561D2"/>
    <w:rsid w:val="5D0A322C"/>
    <w:rsid w:val="5D4F25D3"/>
    <w:rsid w:val="5DA76336"/>
    <w:rsid w:val="5DC7365F"/>
    <w:rsid w:val="5E6E0BAD"/>
    <w:rsid w:val="5F0B41D5"/>
    <w:rsid w:val="5FFB296C"/>
    <w:rsid w:val="60493949"/>
    <w:rsid w:val="606115FD"/>
    <w:rsid w:val="60806FCC"/>
    <w:rsid w:val="60896698"/>
    <w:rsid w:val="60F0644F"/>
    <w:rsid w:val="60F82E2D"/>
    <w:rsid w:val="6182292A"/>
    <w:rsid w:val="61CA129D"/>
    <w:rsid w:val="61E7213D"/>
    <w:rsid w:val="624A3B5C"/>
    <w:rsid w:val="6269571B"/>
    <w:rsid w:val="629F6458"/>
    <w:rsid w:val="62A26DED"/>
    <w:rsid w:val="631D10F5"/>
    <w:rsid w:val="63300EC7"/>
    <w:rsid w:val="635B76A3"/>
    <w:rsid w:val="644C0045"/>
    <w:rsid w:val="64722396"/>
    <w:rsid w:val="655F0ADF"/>
    <w:rsid w:val="6568759D"/>
    <w:rsid w:val="65B00C25"/>
    <w:rsid w:val="65D65B8B"/>
    <w:rsid w:val="66275E71"/>
    <w:rsid w:val="6650370B"/>
    <w:rsid w:val="665A4AAB"/>
    <w:rsid w:val="669015B7"/>
    <w:rsid w:val="66A22C31"/>
    <w:rsid w:val="673918E8"/>
    <w:rsid w:val="67910A38"/>
    <w:rsid w:val="67A97F8B"/>
    <w:rsid w:val="67E502A5"/>
    <w:rsid w:val="68010E10"/>
    <w:rsid w:val="6854644D"/>
    <w:rsid w:val="697F79A9"/>
    <w:rsid w:val="69E9145F"/>
    <w:rsid w:val="6A794FDE"/>
    <w:rsid w:val="6BA73420"/>
    <w:rsid w:val="6BFC14F8"/>
    <w:rsid w:val="6C5D16A6"/>
    <w:rsid w:val="6CA3362C"/>
    <w:rsid w:val="6CD63284"/>
    <w:rsid w:val="70CC520D"/>
    <w:rsid w:val="70E47C18"/>
    <w:rsid w:val="71257C6E"/>
    <w:rsid w:val="718A5D23"/>
    <w:rsid w:val="721236CB"/>
    <w:rsid w:val="72345C8F"/>
    <w:rsid w:val="725400DF"/>
    <w:rsid w:val="72CC4119"/>
    <w:rsid w:val="72DF7790"/>
    <w:rsid w:val="73EF00BF"/>
    <w:rsid w:val="74BF242D"/>
    <w:rsid w:val="76766876"/>
    <w:rsid w:val="78245B62"/>
    <w:rsid w:val="78BF281D"/>
    <w:rsid w:val="78C72859"/>
    <w:rsid w:val="796360D7"/>
    <w:rsid w:val="79786DA9"/>
    <w:rsid w:val="799040F2"/>
    <w:rsid w:val="7C1527D9"/>
    <w:rsid w:val="7C6E49AB"/>
    <w:rsid w:val="7CA848D0"/>
    <w:rsid w:val="7D9348C5"/>
    <w:rsid w:val="7E882607"/>
    <w:rsid w:val="7F85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spacing w:before="144"/>
      <w:ind w:left="2614" w:right="445" w:hanging="3015"/>
      <w:outlineLvl w:val="0"/>
    </w:pPr>
    <w:rPr>
      <w:rFonts w:ascii="方正小标宋简体" w:hAnsi="方正小标宋简体" w:eastAsia="方正小标宋简体" w:cs="方正小标宋简体"/>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sz w:val="24"/>
    </w:rPr>
  </w:style>
  <w:style w:type="paragraph" w:styleId="4">
    <w:name w:val="Body Text"/>
    <w:basedOn w:val="1"/>
    <w:qFormat/>
    <w:uiPriority w:val="0"/>
    <w:pPr>
      <w:spacing w:before="100" w:beforeAutospacing="1"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10820</Words>
  <Characters>11050</Characters>
  <Lines>10</Lines>
  <Paragraphs>2</Paragraphs>
  <TotalTime>13</TotalTime>
  <ScaleCrop>false</ScaleCrop>
  <LinksUpToDate>false</LinksUpToDate>
  <CharactersWithSpaces>11101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2021-12-17T00:52:00Z</dcterms:created>
  <dc:creator>WPS_297919525</dc:creator>
  <cp:lastModifiedBy>DNRY</cp:lastModifiedBy>
  <cp:lastPrinted>2023-09-04T02:40:00Z</cp:lastPrinted>
  <dcterms:modified xsi:type="dcterms:W3CDTF">2023-09-15T03:55:48Z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99940ECD06B94A99B30D72C81C528A31_13</vt:lpwstr>
  </property>
</Properties>
</file>