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val="0"/>
        <w:bidi w:val="0"/>
        <w:adjustRightInd/>
        <w:snapToGrid/>
        <w:spacing w:beforeAutospacing="0" w:afterAutospacing="0" w:line="560" w:lineRule="exact"/>
        <w:ind w:left="0"/>
        <w:jc w:val="center"/>
        <w:outlineLvl w:val="9"/>
        <w:rPr>
          <w:rFonts w:hint="eastAsia" w:ascii="方正小标宋简体" w:eastAsia="方正小标宋简体"/>
          <w:bCs/>
          <w:sz w:val="44"/>
          <w:szCs w:val="44"/>
        </w:rPr>
      </w:pPr>
      <w:r>
        <w:rPr>
          <w:rFonts w:hint="eastAsia" w:ascii="方正小标宋简体" w:eastAsia="方正小标宋简体"/>
          <w:bCs/>
          <w:sz w:val="44"/>
          <w:szCs w:val="44"/>
        </w:rPr>
        <w:t>兰陵县第十四小学教职工综合量化评估细则</w:t>
      </w:r>
    </w:p>
    <w:p>
      <w:pPr>
        <w:keepNext w:val="0"/>
        <w:keepLines w:val="0"/>
        <w:pageBreakBefore w:val="0"/>
        <w:kinsoku/>
        <w:overflowPunct/>
        <w:topLinePunct w:val="0"/>
        <w:autoSpaceDE w:val="0"/>
        <w:bidi w:val="0"/>
        <w:adjustRightInd/>
        <w:snapToGrid/>
        <w:spacing w:beforeAutospacing="0" w:afterAutospacing="0" w:line="560" w:lineRule="exact"/>
        <w:ind w:left="0"/>
        <w:jc w:val="center"/>
        <w:outlineLvl w:val="9"/>
        <w:rPr>
          <w:rFonts w:hint="eastAsia" w:ascii="方正小标宋简体" w:eastAsia="方正小标宋简体"/>
          <w:bCs/>
          <w:sz w:val="44"/>
          <w:szCs w:val="44"/>
          <w:lang w:val="en-US" w:eastAsia="zh-CN"/>
        </w:rPr>
      </w:pPr>
      <w:r>
        <w:rPr>
          <w:rFonts w:hint="eastAsia" w:ascii="方正小标宋简体" w:eastAsia="方正小标宋简体"/>
          <w:bCs/>
          <w:sz w:val="44"/>
          <w:szCs w:val="44"/>
          <w:lang w:val="en-US" w:eastAsia="zh-CN"/>
        </w:rPr>
        <w:t>（修订版）</w:t>
      </w:r>
    </w:p>
    <w:p>
      <w:pPr>
        <w:keepNext w:val="0"/>
        <w:keepLines w:val="0"/>
        <w:pageBreakBefore w:val="0"/>
        <w:widowControl w:val="0"/>
        <w:kinsoku/>
        <w:wordWrap/>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sz w:val="32"/>
          <w:szCs w:val="32"/>
        </w:rPr>
      </w:pPr>
      <w:r>
        <w:rPr>
          <w:rFonts w:hint="eastAsia" w:ascii="黑体" w:hAnsi="黑体" w:eastAsia="黑体"/>
          <w:sz w:val="32"/>
          <w:szCs w:val="32"/>
        </w:rPr>
        <w:t>一、指导思想。</w:t>
      </w:r>
      <w:r>
        <w:rPr>
          <w:rFonts w:hint="eastAsia" w:ascii="仿宋_GB2312" w:eastAsia="仿宋_GB2312"/>
          <w:sz w:val="32"/>
          <w:szCs w:val="32"/>
        </w:rPr>
        <w:t>为了进一步深化教育改革，强化学校内部管理，全面、客观、公正地评价教师工作，调动广大教师的工作积极性和创造性。促进学校管理进一步制度化、科学化、民主化，全面</w:t>
      </w:r>
      <w:r>
        <w:rPr>
          <w:rFonts w:hint="eastAsia" w:ascii="仿宋_GB2312" w:eastAsia="仿宋_GB2312"/>
          <w:sz w:val="32"/>
          <w:szCs w:val="32"/>
          <w:lang w:eastAsia="zh-CN"/>
        </w:rPr>
        <w:t>提升</w:t>
      </w:r>
      <w:r>
        <w:rPr>
          <w:rFonts w:hint="eastAsia" w:ascii="仿宋_GB2312" w:eastAsia="仿宋_GB2312"/>
          <w:sz w:val="32"/>
          <w:szCs w:val="32"/>
        </w:rPr>
        <w:t>教育教学质量，完成“立德树人”的重要任务。根据上级文件精神，结合我校实际，特制定《兰陵县第十四小学教职工综合量化评估细则》。</w:t>
      </w:r>
    </w:p>
    <w:p>
      <w:pPr>
        <w:keepNext w:val="0"/>
        <w:keepLines w:val="0"/>
        <w:pageBreakBefore w:val="0"/>
        <w:widowControl w:val="0"/>
        <w:kinsoku/>
        <w:wordWrap/>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sz w:val="32"/>
          <w:szCs w:val="32"/>
        </w:rPr>
      </w:pPr>
      <w:r>
        <w:rPr>
          <w:rFonts w:hint="eastAsia" w:ascii="黑体" w:hAnsi="黑体" w:eastAsia="黑体"/>
          <w:sz w:val="32"/>
          <w:szCs w:val="32"/>
        </w:rPr>
        <w:t>二、综合量化考核领导小组。</w:t>
      </w:r>
      <w:r>
        <w:rPr>
          <w:rFonts w:hint="eastAsia" w:ascii="仿宋_GB2312" w:eastAsia="仿宋_GB2312"/>
          <w:sz w:val="32"/>
          <w:szCs w:val="32"/>
        </w:rPr>
        <w:t>组长</w:t>
      </w:r>
      <w:r>
        <w:rPr>
          <w:rFonts w:hint="eastAsia" w:ascii="仿宋_GB2312" w:eastAsia="仿宋_GB2312"/>
          <w:sz w:val="32"/>
          <w:szCs w:val="32"/>
          <w:lang w:eastAsia="zh-CN"/>
        </w:rPr>
        <w:t>：</w:t>
      </w:r>
      <w:r>
        <w:rPr>
          <w:rFonts w:hint="eastAsia" w:ascii="仿宋_GB2312" w:eastAsia="仿宋_GB2312"/>
          <w:sz w:val="32"/>
          <w:szCs w:val="32"/>
        </w:rPr>
        <w:t>王存；副组长</w:t>
      </w:r>
      <w:r>
        <w:rPr>
          <w:rFonts w:hint="eastAsia" w:ascii="仿宋_GB2312" w:eastAsia="仿宋_GB2312"/>
          <w:sz w:val="32"/>
          <w:szCs w:val="32"/>
          <w:lang w:eastAsia="zh-CN"/>
        </w:rPr>
        <w:t>：</w:t>
      </w:r>
      <w:r>
        <w:rPr>
          <w:rFonts w:hint="eastAsia" w:ascii="仿宋_GB2312" w:eastAsia="仿宋_GB2312"/>
          <w:sz w:val="32"/>
          <w:szCs w:val="32"/>
        </w:rPr>
        <w:t>付岩飞、金钱红；成员</w:t>
      </w:r>
      <w:r>
        <w:rPr>
          <w:rFonts w:hint="eastAsia" w:ascii="仿宋_GB2312" w:eastAsia="仿宋_GB2312"/>
          <w:sz w:val="32"/>
          <w:szCs w:val="32"/>
          <w:lang w:eastAsia="zh-CN"/>
        </w:rPr>
        <w:t>：</w:t>
      </w:r>
      <w:r>
        <w:rPr>
          <w:rFonts w:hint="eastAsia" w:ascii="仿宋_GB2312" w:eastAsia="仿宋_GB2312"/>
          <w:sz w:val="32"/>
          <w:szCs w:val="32"/>
        </w:rPr>
        <w:t>黄军伟、张伟、秦臻、孙启飞</w:t>
      </w:r>
      <w:r>
        <w:rPr>
          <w:rFonts w:hint="eastAsia" w:ascii="仿宋_GB2312" w:eastAsia="仿宋_GB2312"/>
          <w:sz w:val="32"/>
          <w:szCs w:val="32"/>
          <w:lang w:eastAsia="zh-CN"/>
        </w:rPr>
        <w:t>、</w:t>
      </w:r>
      <w:r>
        <w:rPr>
          <w:rFonts w:hint="eastAsia" w:ascii="仿宋_GB2312" w:eastAsia="仿宋_GB2312"/>
          <w:sz w:val="32"/>
          <w:szCs w:val="32"/>
        </w:rPr>
        <w:t xml:space="preserve">宋雯雯、石晓云 </w:t>
      </w:r>
      <w:r>
        <w:rPr>
          <w:rFonts w:hint="eastAsia" w:ascii="仿宋_GB2312" w:eastAsia="仿宋_GB2312"/>
          <w:sz w:val="32"/>
          <w:szCs w:val="32"/>
          <w:lang w:eastAsia="zh-CN"/>
        </w:rPr>
        <w:t>、刘天真、魏宝娜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sz w:val="32"/>
          <w:szCs w:val="32"/>
        </w:rPr>
      </w:pPr>
      <w:r>
        <w:rPr>
          <w:rFonts w:hint="eastAsia" w:ascii="黑体" w:hAnsi="黑体" w:eastAsia="黑体"/>
          <w:sz w:val="32"/>
          <w:szCs w:val="32"/>
        </w:rPr>
        <w:t>三、评价方式。</w:t>
      </w:r>
      <w:r>
        <w:rPr>
          <w:rFonts w:hint="eastAsia" w:ascii="仿宋_GB2312" w:eastAsia="仿宋_GB2312"/>
          <w:sz w:val="32"/>
          <w:szCs w:val="32"/>
        </w:rPr>
        <w:t>教职工工作绩效评价采用过程评价与终结性评价相结合，定量评价与定性评价相结合的方式进行。使评价成为规范学校各项工作过程化管理的重要机制。</w:t>
      </w:r>
    </w:p>
    <w:p>
      <w:pPr>
        <w:keepNext w:val="0"/>
        <w:keepLines w:val="0"/>
        <w:pageBreakBefore w:val="0"/>
        <w:widowControl w:val="0"/>
        <w:kinsoku/>
        <w:wordWrap/>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sz w:val="32"/>
          <w:szCs w:val="32"/>
        </w:rPr>
      </w:pPr>
      <w:r>
        <w:rPr>
          <w:rFonts w:hint="eastAsia" w:ascii="黑体" w:hAnsi="黑体" w:eastAsia="黑体"/>
          <w:sz w:val="32"/>
          <w:szCs w:val="32"/>
        </w:rPr>
        <w:t>四、具体综合量化评估细则。</w:t>
      </w:r>
      <w:r>
        <w:rPr>
          <w:rFonts w:hint="eastAsia" w:ascii="仿宋_GB2312" w:eastAsia="仿宋_GB2312"/>
          <w:sz w:val="32"/>
          <w:szCs w:val="32"/>
        </w:rPr>
        <w:t>将教职工的工作按“德、能、勤、绩、附加分”分为五大指标共计1000分。考核组根据各项指标完成的情况、取得的成绩，结合平时积累的有关数据，期末汇总出每个教职工的最终考核分。</w:t>
      </w:r>
    </w:p>
    <w:tbl>
      <w:tblPr>
        <w:tblStyle w:val="4"/>
        <w:tblW w:w="8598" w:type="dxa"/>
        <w:tblInd w:w="135" w:type="dxa"/>
        <w:tblLayout w:type="fixed"/>
        <w:tblCellMar>
          <w:top w:w="15" w:type="dxa"/>
          <w:left w:w="15" w:type="dxa"/>
          <w:bottom w:w="15" w:type="dxa"/>
          <w:right w:w="15" w:type="dxa"/>
        </w:tblCellMar>
      </w:tblPr>
      <w:tblGrid>
        <w:gridCol w:w="602"/>
        <w:gridCol w:w="545"/>
        <w:gridCol w:w="516"/>
        <w:gridCol w:w="581"/>
        <w:gridCol w:w="541"/>
        <w:gridCol w:w="568"/>
        <w:gridCol w:w="591"/>
        <w:gridCol w:w="692"/>
        <w:gridCol w:w="672"/>
        <w:gridCol w:w="827"/>
        <w:gridCol w:w="620"/>
        <w:gridCol w:w="605"/>
        <w:gridCol w:w="713"/>
        <w:gridCol w:w="525"/>
      </w:tblGrid>
      <w:tr>
        <w:tblPrEx>
          <w:tblCellMar>
            <w:top w:w="15" w:type="dxa"/>
            <w:left w:w="15" w:type="dxa"/>
            <w:bottom w:w="15" w:type="dxa"/>
            <w:right w:w="15" w:type="dxa"/>
          </w:tblCellMar>
        </w:tblPrEx>
        <w:trPr>
          <w:trHeight w:val="420" w:hRule="atLeast"/>
        </w:trPr>
        <w:tc>
          <w:tcPr>
            <w:tcW w:w="602" w:type="dxa"/>
            <w:vMerge w:val="restart"/>
            <w:tcBorders>
              <w:top w:val="single" w:color="000000" w:sz="12" w:space="0"/>
              <w:left w:val="single" w:color="000000" w:sz="12" w:space="0"/>
              <w:bottom w:val="single" w:color="000000" w:sz="4" w:space="0"/>
              <w:right w:val="nil"/>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德</w:t>
            </w:r>
          </w:p>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(政教处量化)</w:t>
            </w:r>
          </w:p>
        </w:tc>
        <w:tc>
          <w:tcPr>
            <w:tcW w:w="5533" w:type="dxa"/>
            <w:gridSpan w:val="9"/>
            <w:tcBorders>
              <w:top w:val="single" w:color="000000" w:sz="12" w:space="0"/>
              <w:left w:val="single" w:color="000000" w:sz="12"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能(教导处和政教处量化)320</w:t>
            </w:r>
          </w:p>
        </w:tc>
        <w:tc>
          <w:tcPr>
            <w:tcW w:w="620" w:type="dxa"/>
            <w:vMerge w:val="restart"/>
            <w:tcBorders>
              <w:top w:val="single" w:color="000000" w:sz="12" w:space="0"/>
              <w:left w:val="nil"/>
              <w:bottom w:val="single" w:color="000000" w:sz="4" w:space="0"/>
              <w:right w:val="nil"/>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勤</w:t>
            </w:r>
          </w:p>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(政教处量化)</w:t>
            </w:r>
          </w:p>
        </w:tc>
        <w:tc>
          <w:tcPr>
            <w:tcW w:w="605" w:type="dxa"/>
            <w:vMerge w:val="restart"/>
            <w:tcBorders>
              <w:top w:val="single" w:color="000000" w:sz="12" w:space="0"/>
              <w:left w:val="single" w:color="000000" w:sz="12"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绩</w:t>
            </w:r>
          </w:p>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(教导处量化)</w:t>
            </w:r>
          </w:p>
        </w:tc>
        <w:tc>
          <w:tcPr>
            <w:tcW w:w="713" w:type="dxa"/>
            <w:vMerge w:val="restart"/>
            <w:tcBorders>
              <w:top w:val="single" w:color="000000" w:sz="12" w:space="0"/>
              <w:left w:val="nil"/>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附加分按实际情况赋分</w:t>
            </w:r>
          </w:p>
        </w:tc>
        <w:tc>
          <w:tcPr>
            <w:tcW w:w="525" w:type="dxa"/>
            <w:vMerge w:val="restart"/>
            <w:tcBorders>
              <w:top w:val="single" w:color="000000" w:sz="12" w:space="0"/>
              <w:left w:val="nil"/>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总分</w:t>
            </w:r>
          </w:p>
        </w:tc>
      </w:tr>
      <w:tr>
        <w:tblPrEx>
          <w:tblCellMar>
            <w:top w:w="15" w:type="dxa"/>
            <w:left w:w="15" w:type="dxa"/>
            <w:bottom w:w="15" w:type="dxa"/>
            <w:right w:w="15" w:type="dxa"/>
          </w:tblCellMar>
        </w:tblPrEx>
        <w:trPr>
          <w:trHeight w:val="450" w:hRule="atLeast"/>
        </w:trPr>
        <w:tc>
          <w:tcPr>
            <w:tcW w:w="602" w:type="dxa"/>
            <w:vMerge w:val="continue"/>
            <w:tcBorders>
              <w:top w:val="single" w:color="000000" w:sz="12" w:space="0"/>
              <w:left w:val="single" w:color="000000" w:sz="12" w:space="0"/>
              <w:bottom w:val="single" w:color="000000" w:sz="4" w:space="0"/>
              <w:right w:val="nil"/>
            </w:tcBorders>
            <w:vAlign w:val="center"/>
          </w:tcPr>
          <w:p>
            <w:pPr>
              <w:keepNext w:val="0"/>
              <w:keepLines w:val="0"/>
              <w:pageBreakBefore w:val="0"/>
              <w:widowControl/>
              <w:kinsoku/>
              <w:overflowPunct/>
              <w:topLinePunct w:val="0"/>
              <w:bidi w:val="0"/>
              <w:adjustRightInd/>
              <w:snapToGrid/>
              <w:spacing w:before="0" w:beforeAutospacing="0" w:after="0" w:afterAutospacing="0" w:line="560" w:lineRule="exact"/>
              <w:ind w:left="0"/>
              <w:jc w:val="left"/>
              <w:textAlignment w:val="auto"/>
              <w:outlineLvl w:val="9"/>
              <w:rPr>
                <w:rFonts w:ascii="仿宋_GB2312" w:eastAsia="仿宋_GB2312"/>
                <w:sz w:val="18"/>
                <w:szCs w:val="18"/>
              </w:rPr>
            </w:pPr>
          </w:p>
        </w:tc>
        <w:tc>
          <w:tcPr>
            <w:tcW w:w="3342" w:type="dxa"/>
            <w:gridSpan w:val="6"/>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常规管理120</w:t>
            </w:r>
          </w:p>
        </w:tc>
        <w:tc>
          <w:tcPr>
            <w:tcW w:w="692"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教师专业发展</w:t>
            </w:r>
          </w:p>
        </w:tc>
        <w:tc>
          <w:tcPr>
            <w:tcW w:w="672"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教师工作量</w:t>
            </w:r>
          </w:p>
        </w:tc>
        <w:tc>
          <w:tcPr>
            <w:tcW w:w="827" w:type="dxa"/>
            <w:vMerge w:val="restart"/>
            <w:tcBorders>
              <w:top w:val="nil"/>
              <w:left w:val="nil"/>
              <w:bottom w:val="single" w:color="000000" w:sz="4" w:space="0"/>
              <w:right w:val="single" w:color="000000" w:sz="12"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班级管理(政教处量化)</w:t>
            </w:r>
          </w:p>
        </w:tc>
        <w:tc>
          <w:tcPr>
            <w:tcW w:w="620" w:type="dxa"/>
            <w:vMerge w:val="continue"/>
            <w:tcBorders>
              <w:top w:val="single" w:color="000000" w:sz="12" w:space="0"/>
              <w:left w:val="nil"/>
              <w:bottom w:val="single" w:color="000000" w:sz="4" w:space="0"/>
              <w:right w:val="nil"/>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c>
          <w:tcPr>
            <w:tcW w:w="605" w:type="dxa"/>
            <w:vMerge w:val="continue"/>
            <w:tcBorders>
              <w:top w:val="single" w:color="000000" w:sz="12" w:space="0"/>
              <w:left w:val="single" w:color="000000" w:sz="12"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c>
          <w:tcPr>
            <w:tcW w:w="713" w:type="dxa"/>
            <w:vMerge w:val="continue"/>
            <w:tcBorders>
              <w:top w:val="single" w:color="000000" w:sz="12" w:space="0"/>
              <w:left w:val="nil"/>
              <w:bottom w:val="single" w:color="000000" w:sz="4" w:space="0"/>
              <w:right w:val="single" w:color="000000" w:sz="12" w:space="0"/>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c>
          <w:tcPr>
            <w:tcW w:w="525" w:type="dxa"/>
            <w:vMerge w:val="continue"/>
            <w:tcBorders>
              <w:top w:val="single" w:color="000000" w:sz="12" w:space="0"/>
              <w:left w:val="nil"/>
              <w:bottom w:val="single" w:color="000000" w:sz="4" w:space="0"/>
              <w:right w:val="single" w:color="000000" w:sz="12" w:space="0"/>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r>
      <w:tr>
        <w:tblPrEx>
          <w:tblCellMar>
            <w:top w:w="15" w:type="dxa"/>
            <w:left w:w="15" w:type="dxa"/>
            <w:bottom w:w="15" w:type="dxa"/>
            <w:right w:w="15" w:type="dxa"/>
          </w:tblCellMar>
        </w:tblPrEx>
        <w:trPr>
          <w:trHeight w:val="90" w:hRule="atLeast"/>
        </w:trPr>
        <w:tc>
          <w:tcPr>
            <w:tcW w:w="602" w:type="dxa"/>
            <w:vMerge w:val="continue"/>
            <w:tcBorders>
              <w:top w:val="single" w:color="000000" w:sz="12" w:space="0"/>
              <w:left w:val="single" w:color="000000" w:sz="12" w:space="0"/>
              <w:bottom w:val="single" w:color="000000" w:sz="4" w:space="0"/>
              <w:right w:val="nil"/>
            </w:tcBorders>
            <w:vAlign w:val="center"/>
          </w:tcPr>
          <w:p>
            <w:pPr>
              <w:keepNext w:val="0"/>
              <w:keepLines w:val="0"/>
              <w:pageBreakBefore w:val="0"/>
              <w:widowControl/>
              <w:kinsoku/>
              <w:overflowPunct/>
              <w:topLinePunct w:val="0"/>
              <w:bidi w:val="0"/>
              <w:adjustRightInd/>
              <w:snapToGrid/>
              <w:spacing w:before="0" w:beforeAutospacing="0" w:after="0" w:afterAutospacing="0" w:line="560" w:lineRule="exact"/>
              <w:ind w:left="0"/>
              <w:jc w:val="left"/>
              <w:textAlignment w:val="auto"/>
              <w:outlineLvl w:val="9"/>
              <w:rPr>
                <w:rFonts w:ascii="仿宋_GB2312" w:eastAsia="仿宋_GB2312"/>
                <w:sz w:val="18"/>
                <w:szCs w:val="18"/>
              </w:rPr>
            </w:pPr>
          </w:p>
        </w:tc>
        <w:tc>
          <w:tcPr>
            <w:tcW w:w="545" w:type="dxa"/>
            <w:tcBorders>
              <w:top w:val="single" w:color="000000" w:sz="4" w:space="0"/>
              <w:left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left"/>
              <w:textAlignment w:val="center"/>
              <w:outlineLvl w:val="9"/>
              <w:rPr>
                <w:rFonts w:ascii="仿宋_GB2312" w:eastAsia="仿宋_GB2312"/>
                <w:sz w:val="18"/>
                <w:szCs w:val="18"/>
              </w:rPr>
            </w:pPr>
            <w:r>
              <w:rPr>
                <w:rFonts w:hint="eastAsia" w:ascii="仿宋_GB2312" w:eastAsia="仿宋_GB2312"/>
                <w:sz w:val="18"/>
                <w:szCs w:val="18"/>
              </w:rPr>
              <w:t>备课</w:t>
            </w:r>
          </w:p>
        </w:tc>
        <w:tc>
          <w:tcPr>
            <w:tcW w:w="51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作业</w:t>
            </w:r>
          </w:p>
        </w:tc>
        <w:tc>
          <w:tcPr>
            <w:tcW w:w="58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单元</w:t>
            </w:r>
          </w:p>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检测</w:t>
            </w:r>
          </w:p>
        </w:tc>
        <w:tc>
          <w:tcPr>
            <w:tcW w:w="54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听课记录</w:t>
            </w:r>
          </w:p>
        </w:tc>
        <w:tc>
          <w:tcPr>
            <w:tcW w:w="56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学习</w:t>
            </w:r>
          </w:p>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笔记</w:t>
            </w:r>
          </w:p>
        </w:tc>
        <w:tc>
          <w:tcPr>
            <w:tcW w:w="5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会议</w:t>
            </w:r>
          </w:p>
          <w:p>
            <w:pPr>
              <w:keepNext w:val="0"/>
              <w:keepLines w:val="0"/>
              <w:pageBreakBefore w:val="0"/>
              <w:widowControl/>
              <w:kinsoku/>
              <w:wordWrap/>
              <w:overflowPunct/>
              <w:topLinePunct w:val="0"/>
              <w:autoSpaceDE/>
              <w:autoSpaceDN w:val="0"/>
              <w:bidi w:val="0"/>
              <w:adjustRightInd/>
              <w:snapToGrid/>
              <w:spacing w:beforeAutospacing="0" w:afterAutospacing="0" w:line="40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记录</w:t>
            </w:r>
          </w:p>
        </w:tc>
        <w:tc>
          <w:tcPr>
            <w:tcW w:w="69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c>
          <w:tcPr>
            <w:tcW w:w="672"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c>
          <w:tcPr>
            <w:tcW w:w="827" w:type="dxa"/>
            <w:vMerge w:val="continue"/>
            <w:tcBorders>
              <w:top w:val="nil"/>
              <w:left w:val="nil"/>
              <w:bottom w:val="single" w:color="000000" w:sz="4" w:space="0"/>
              <w:right w:val="single" w:color="000000" w:sz="12" w:space="0"/>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c>
          <w:tcPr>
            <w:tcW w:w="620" w:type="dxa"/>
            <w:vMerge w:val="continue"/>
            <w:tcBorders>
              <w:top w:val="single" w:color="000000" w:sz="12" w:space="0"/>
              <w:left w:val="nil"/>
              <w:bottom w:val="single" w:color="000000" w:sz="4" w:space="0"/>
              <w:right w:val="nil"/>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c>
          <w:tcPr>
            <w:tcW w:w="605" w:type="dxa"/>
            <w:vMerge w:val="continue"/>
            <w:tcBorders>
              <w:top w:val="single" w:color="000000" w:sz="12" w:space="0"/>
              <w:left w:val="single" w:color="000000" w:sz="12" w:space="0"/>
              <w:bottom w:val="single" w:color="000000" w:sz="4" w:space="0"/>
              <w:right w:val="single" w:color="000000" w:sz="12" w:space="0"/>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c>
          <w:tcPr>
            <w:tcW w:w="713" w:type="dxa"/>
            <w:vMerge w:val="continue"/>
            <w:tcBorders>
              <w:top w:val="single" w:color="000000" w:sz="12" w:space="0"/>
              <w:left w:val="nil"/>
              <w:bottom w:val="single" w:color="000000" w:sz="4" w:space="0"/>
              <w:right w:val="single" w:color="000000" w:sz="12" w:space="0"/>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c>
          <w:tcPr>
            <w:tcW w:w="525" w:type="dxa"/>
            <w:vMerge w:val="continue"/>
            <w:tcBorders>
              <w:top w:val="single" w:color="000000" w:sz="12" w:space="0"/>
              <w:left w:val="nil"/>
              <w:bottom w:val="single" w:color="000000" w:sz="4" w:space="0"/>
              <w:right w:val="single" w:color="000000" w:sz="12" w:space="0"/>
            </w:tcBorders>
            <w:vAlign w:val="center"/>
          </w:tcPr>
          <w:p>
            <w:pPr>
              <w:keepNext w:val="0"/>
              <w:keepLines w:val="0"/>
              <w:pageBreakBefore w:val="0"/>
              <w:widowControl/>
              <w:kinsoku/>
              <w:wordWrap/>
              <w:overflowPunct/>
              <w:topLinePunct w:val="0"/>
              <w:autoSpaceDE/>
              <w:bidi w:val="0"/>
              <w:adjustRightInd/>
              <w:snapToGrid/>
              <w:spacing w:before="0" w:beforeAutospacing="0" w:after="0" w:afterAutospacing="0" w:line="400" w:lineRule="exact"/>
              <w:ind w:left="0"/>
              <w:jc w:val="left"/>
              <w:textAlignment w:val="auto"/>
              <w:outlineLvl w:val="9"/>
              <w:rPr>
                <w:rFonts w:ascii="仿宋_GB2312" w:eastAsia="仿宋_GB2312"/>
                <w:sz w:val="18"/>
                <w:szCs w:val="18"/>
              </w:rPr>
            </w:pPr>
          </w:p>
        </w:tc>
      </w:tr>
      <w:tr>
        <w:tblPrEx>
          <w:tblCellMar>
            <w:top w:w="15" w:type="dxa"/>
            <w:left w:w="15" w:type="dxa"/>
            <w:bottom w:w="15" w:type="dxa"/>
            <w:right w:w="15" w:type="dxa"/>
          </w:tblCellMar>
        </w:tblPrEx>
        <w:trPr>
          <w:trHeight w:val="90" w:hRule="atLeast"/>
        </w:trPr>
        <w:tc>
          <w:tcPr>
            <w:tcW w:w="602" w:type="dxa"/>
            <w:tcBorders>
              <w:top w:val="single" w:color="000000" w:sz="4" w:space="0"/>
              <w:left w:val="single" w:color="000000" w:sz="12" w:space="0"/>
              <w:bottom w:val="single" w:color="000000" w:sz="12" w:space="0"/>
              <w:right w:val="nil"/>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80</w:t>
            </w:r>
          </w:p>
        </w:tc>
        <w:tc>
          <w:tcPr>
            <w:tcW w:w="545" w:type="dxa"/>
            <w:tcBorders>
              <w:top w:val="single" w:color="000000" w:sz="4" w:space="0"/>
              <w:left w:val="single" w:color="000000" w:sz="12" w:space="0"/>
              <w:bottom w:val="single" w:color="000000" w:sz="12" w:space="0"/>
              <w:right w:val="single" w:color="000000" w:sz="4"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50</w:t>
            </w:r>
          </w:p>
        </w:tc>
        <w:tc>
          <w:tcPr>
            <w:tcW w:w="516" w:type="dxa"/>
            <w:tcBorders>
              <w:top w:val="single" w:color="000000" w:sz="4" w:space="0"/>
              <w:left w:val="nil"/>
              <w:bottom w:val="single" w:color="000000" w:sz="12" w:space="0"/>
              <w:right w:val="single" w:color="000000" w:sz="4"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30</w:t>
            </w:r>
          </w:p>
        </w:tc>
        <w:tc>
          <w:tcPr>
            <w:tcW w:w="581" w:type="dxa"/>
            <w:tcBorders>
              <w:top w:val="single" w:color="000000" w:sz="4" w:space="0"/>
              <w:left w:val="nil"/>
              <w:bottom w:val="single" w:color="000000" w:sz="12" w:space="0"/>
              <w:right w:val="single" w:color="000000" w:sz="4"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25</w:t>
            </w:r>
          </w:p>
        </w:tc>
        <w:tc>
          <w:tcPr>
            <w:tcW w:w="541" w:type="dxa"/>
            <w:tcBorders>
              <w:top w:val="single" w:color="000000" w:sz="4" w:space="0"/>
              <w:left w:val="nil"/>
              <w:bottom w:val="single" w:color="000000" w:sz="12" w:space="0"/>
              <w:right w:val="single" w:color="000000" w:sz="4"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7</w:t>
            </w:r>
          </w:p>
        </w:tc>
        <w:tc>
          <w:tcPr>
            <w:tcW w:w="568" w:type="dxa"/>
            <w:tcBorders>
              <w:top w:val="single" w:color="000000" w:sz="4" w:space="0"/>
              <w:left w:val="nil"/>
              <w:bottom w:val="single" w:color="000000" w:sz="12" w:space="0"/>
              <w:right w:val="single" w:color="000000" w:sz="4"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4</w:t>
            </w:r>
          </w:p>
        </w:tc>
        <w:tc>
          <w:tcPr>
            <w:tcW w:w="591" w:type="dxa"/>
            <w:tcBorders>
              <w:top w:val="single" w:color="000000" w:sz="4" w:space="0"/>
              <w:left w:val="nil"/>
              <w:bottom w:val="single" w:color="000000" w:sz="12" w:space="0"/>
              <w:right w:val="single" w:color="000000" w:sz="4"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4</w:t>
            </w:r>
          </w:p>
        </w:tc>
        <w:tc>
          <w:tcPr>
            <w:tcW w:w="692" w:type="dxa"/>
            <w:tcBorders>
              <w:top w:val="single" w:color="000000" w:sz="4" w:space="0"/>
              <w:left w:val="nil"/>
              <w:bottom w:val="single" w:color="000000" w:sz="12" w:space="0"/>
              <w:right w:val="single" w:color="000000" w:sz="4"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50</w:t>
            </w:r>
          </w:p>
        </w:tc>
        <w:tc>
          <w:tcPr>
            <w:tcW w:w="672" w:type="dxa"/>
            <w:tcBorders>
              <w:top w:val="single" w:color="000000" w:sz="4" w:space="0"/>
              <w:left w:val="nil"/>
              <w:bottom w:val="single" w:color="000000" w:sz="12" w:space="0"/>
              <w:right w:val="single" w:color="000000" w:sz="4"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100</w:t>
            </w:r>
          </w:p>
        </w:tc>
        <w:tc>
          <w:tcPr>
            <w:tcW w:w="827" w:type="dxa"/>
            <w:tcBorders>
              <w:top w:val="single" w:color="000000" w:sz="4" w:space="0"/>
              <w:left w:val="nil"/>
              <w:bottom w:val="single" w:color="000000" w:sz="12" w:space="0"/>
              <w:right w:val="single" w:color="000000" w:sz="12"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50</w:t>
            </w:r>
          </w:p>
        </w:tc>
        <w:tc>
          <w:tcPr>
            <w:tcW w:w="620" w:type="dxa"/>
            <w:tcBorders>
              <w:top w:val="single" w:color="000000" w:sz="4" w:space="0"/>
              <w:left w:val="nil"/>
              <w:bottom w:val="single" w:color="000000" w:sz="12" w:space="0"/>
              <w:right w:val="nil"/>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100</w:t>
            </w:r>
          </w:p>
        </w:tc>
        <w:tc>
          <w:tcPr>
            <w:tcW w:w="605" w:type="dxa"/>
            <w:tcBorders>
              <w:top w:val="single" w:color="000000" w:sz="4"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500</w:t>
            </w:r>
          </w:p>
        </w:tc>
        <w:tc>
          <w:tcPr>
            <w:tcW w:w="713" w:type="dxa"/>
            <w:tcBorders>
              <w:top w:val="single" w:color="000000" w:sz="4" w:space="0"/>
              <w:left w:val="nil"/>
              <w:bottom w:val="single" w:color="000000" w:sz="12" w:space="0"/>
              <w:right w:val="single" w:color="000000" w:sz="12" w:space="0"/>
            </w:tcBorders>
            <w:vAlign w:val="center"/>
          </w:tcPr>
          <w:p>
            <w:pPr>
              <w:keepNext w:val="0"/>
              <w:keepLines w:val="0"/>
              <w:pageBreakBefore w:val="0"/>
              <w:kinsoku/>
              <w:overflowPunct/>
              <w:topLinePunct w:val="0"/>
              <w:autoSpaceDN w:val="0"/>
              <w:bidi w:val="0"/>
              <w:adjustRightInd/>
              <w:snapToGrid/>
              <w:spacing w:beforeAutospacing="0" w:afterAutospacing="0" w:line="560" w:lineRule="exact"/>
              <w:ind w:left="0"/>
              <w:jc w:val="center"/>
              <w:outlineLvl w:val="9"/>
              <w:rPr>
                <w:rFonts w:ascii="仿宋_GB2312" w:eastAsia="仿宋_GB2312"/>
                <w:sz w:val="18"/>
                <w:szCs w:val="18"/>
              </w:rPr>
            </w:pPr>
          </w:p>
        </w:tc>
        <w:tc>
          <w:tcPr>
            <w:tcW w:w="525" w:type="dxa"/>
            <w:tcBorders>
              <w:top w:val="single" w:color="000000" w:sz="4" w:space="0"/>
              <w:left w:val="nil"/>
              <w:bottom w:val="single" w:color="000000" w:sz="12" w:space="0"/>
              <w:right w:val="single" w:color="000000" w:sz="12" w:space="0"/>
            </w:tcBorders>
            <w:vAlign w:val="center"/>
          </w:tcPr>
          <w:p>
            <w:pPr>
              <w:keepNext w:val="0"/>
              <w:keepLines w:val="0"/>
              <w:pageBreakBefore w:val="0"/>
              <w:widowControl/>
              <w:kinsoku/>
              <w:overflowPunct/>
              <w:topLinePunct w:val="0"/>
              <w:autoSpaceDN w:val="0"/>
              <w:bidi w:val="0"/>
              <w:adjustRightInd/>
              <w:snapToGrid/>
              <w:spacing w:beforeAutospacing="0" w:afterAutospacing="0" w:line="560" w:lineRule="exact"/>
              <w:ind w:left="0"/>
              <w:jc w:val="center"/>
              <w:textAlignment w:val="center"/>
              <w:outlineLvl w:val="9"/>
              <w:rPr>
                <w:rFonts w:ascii="仿宋_GB2312" w:eastAsia="仿宋_GB2312"/>
                <w:sz w:val="18"/>
                <w:szCs w:val="18"/>
              </w:rPr>
            </w:pPr>
            <w:r>
              <w:rPr>
                <w:rFonts w:hint="eastAsia" w:ascii="仿宋_GB2312" w:eastAsia="仿宋_GB2312"/>
                <w:sz w:val="18"/>
                <w:szCs w:val="18"/>
              </w:rPr>
              <w:t>1000</w:t>
            </w:r>
          </w:p>
        </w:tc>
      </w:tr>
    </w:tbl>
    <w:p>
      <w:pPr>
        <w:keepNext w:val="0"/>
        <w:keepLines w:val="0"/>
        <w:pageBreakBefore w:val="0"/>
        <w:widowControl w:val="0"/>
        <w:kinsoku/>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sz w:val="32"/>
          <w:szCs w:val="32"/>
        </w:rPr>
      </w:pPr>
      <w:r>
        <w:rPr>
          <w:rFonts w:hint="eastAsia" w:ascii="楷体" w:hAnsi="楷体" w:eastAsia="楷体"/>
          <w:sz w:val="32"/>
          <w:szCs w:val="32"/>
        </w:rPr>
        <w:t>（一）德（自身政治思想表现方面）(80分)。</w:t>
      </w:r>
      <w:r>
        <w:rPr>
          <w:rFonts w:hint="eastAsia" w:ascii="仿宋_GB2312" w:eastAsia="仿宋_GB2312"/>
          <w:sz w:val="32"/>
          <w:szCs w:val="32"/>
        </w:rPr>
        <w:t>1.遵纪守法，遵守教师职业道德，为人师表，教书育人。2.能做到心胸宽阔，同事间不计较个人恩怨得失，不背后乱说别人闲话，不做有损害团结的事，违者扣30分。做到同事间谦虚让人，互相扬长避短;如有闹个人意见发生不文明行为的，扣20-80分。3.能热爱学生，好中差一起抓，不挖苦、不体罚学生,给学校造成不良影响(指家长到校告状或拨打热线媒体报导的)，每人次扣5分。4.能做到衣着整洁，举止端庄，语言鲜明，礼貌待人,否则扣10分。5.服从组织安排，不向学校讨价还价，不居功自傲，不搞变通，不走样。否则扣50分。6.不准出现乱收费、办辅导班（或参与授课），否则扣30分。7.不准私自安插学生，私自给学生调班。否则扣50分。8.能够自觉维护学校的利益，坚持“校荣我荣，校衰我耻”的观念,否则扣30分。</w:t>
      </w:r>
      <w:r>
        <w:rPr>
          <w:rFonts w:hint="eastAsia" w:ascii="仿宋_GB2312" w:eastAsia="仿宋_GB2312"/>
          <w:color w:val="000000"/>
          <w:sz w:val="32"/>
          <w:szCs w:val="32"/>
        </w:rPr>
        <w:t>9.未完成学校及各科室安排的各项工作和任务的，每次扣2-20分。10、凡是被家长向学校、12345、兰陵首发等投诉的老师，一经查实，酌情扣20-50分。11、</w:t>
      </w:r>
      <w:r>
        <w:rPr>
          <w:rFonts w:hint="eastAsia" w:ascii="仿宋_GB2312" w:eastAsia="仿宋_GB2312"/>
          <w:color w:val="000000"/>
          <w:sz w:val="32"/>
          <w:szCs w:val="32"/>
          <w:lang w:eastAsia="zh-CN"/>
        </w:rPr>
        <w:t>班级出现学生安全事故的，存在失职渎职的，视其情节轻重，给予该班主任</w:t>
      </w:r>
      <w:r>
        <w:rPr>
          <w:rFonts w:hint="eastAsia" w:ascii="仿宋_GB2312" w:eastAsia="仿宋_GB2312"/>
          <w:color w:val="000000"/>
          <w:sz w:val="32"/>
          <w:szCs w:val="32"/>
          <w:lang w:val="en-US" w:eastAsia="zh-CN"/>
        </w:rPr>
        <w:t>20-50的扣分，情节特别严重的将移送上级和司法机关处理。12、</w:t>
      </w:r>
      <w:r>
        <w:rPr>
          <w:rFonts w:hint="eastAsia" w:ascii="仿宋_GB2312" w:eastAsia="仿宋_GB2312"/>
          <w:color w:val="000000"/>
          <w:sz w:val="32"/>
          <w:szCs w:val="32"/>
        </w:rPr>
        <w:t>“学习强国”作为评先树优重要依据，未按规定要求完成学习任务的，师德实行一票否决制度，此项不得分，并取消评先树优等资格。</w:t>
      </w: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、违反法律法规，受到上级通报处理或曝光的教师，以及以上条款者，师德实行一票否，此项不得分，并取消本年度评先树优、职称晋升等资格。</w:t>
      </w:r>
    </w:p>
    <w:p>
      <w:pPr>
        <w:keepNext w:val="0"/>
        <w:keepLines w:val="0"/>
        <w:pageBreakBefore w:val="0"/>
        <w:widowControl w:val="0"/>
        <w:kinsoku/>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sz w:val="32"/>
          <w:szCs w:val="32"/>
        </w:rPr>
      </w:pPr>
      <w:r>
        <w:rPr>
          <w:rFonts w:hint="eastAsia" w:ascii="楷体" w:hAnsi="楷体" w:eastAsia="楷体"/>
          <w:sz w:val="32"/>
          <w:szCs w:val="32"/>
        </w:rPr>
        <w:t>（二）能（包含：教学常规、专业发展、工作量和班级管理）（320分）。</w:t>
      </w:r>
      <w:r>
        <w:rPr>
          <w:rFonts w:hint="eastAsia" w:ascii="仿宋_GB2312" w:eastAsia="仿宋_GB2312"/>
          <w:sz w:val="32"/>
          <w:szCs w:val="32"/>
        </w:rPr>
        <w:t>能是评价教师的重要组成部分，学校本着实事求是的原则，坚持普查与抽查相结合的方式进行。此项按教师业务、专业发展、工作量和班级管理四项计算。校长此项为满分。</w:t>
      </w:r>
      <w:r>
        <w:rPr>
          <w:rFonts w:hint="eastAsia" w:ascii="仿宋_GB2312" w:eastAsia="仿宋_GB2312"/>
          <w:b/>
          <w:bCs/>
          <w:sz w:val="32"/>
          <w:szCs w:val="32"/>
        </w:rPr>
        <w:t>1.教学常规及过程管理（120分</w:t>
      </w:r>
      <w:r>
        <w:rPr>
          <w:rFonts w:hint="eastAsia" w:ascii="仿宋_GB2312" w:eastAsia="仿宋_GB2312"/>
          <w:sz w:val="32"/>
          <w:szCs w:val="32"/>
        </w:rPr>
        <w:t>）。业务赋分根据《兰陵县第十四小学教学常规及过程管理评价细则》检查得分。（1）</w:t>
      </w:r>
      <w:r>
        <w:rPr>
          <w:rFonts w:hint="eastAsia" w:ascii="仿宋_GB2312" w:eastAsia="仿宋_GB2312"/>
          <w:color w:val="000000"/>
          <w:sz w:val="32"/>
          <w:szCs w:val="32"/>
        </w:rPr>
        <w:t>备课（50分）：</w:t>
      </w:r>
      <w:r>
        <w:rPr>
          <w:rFonts w:hint="eastAsia" w:ascii="仿宋_GB2312" w:eastAsia="仿宋_GB2312"/>
          <w:sz w:val="32"/>
          <w:szCs w:val="32"/>
        </w:rPr>
        <w:t>①教学计划（2分）：每位教师制订出相应的切实可行的各科计划，教学计划要项目齐全、内容具体、书写认真、实效性强，否则酌情扣分。②单元备课（3分）：要从教材和学生实际出发，讲求实效。缺项扣0.2分/项，缺一次扣1分。③集体备课（5分）：备课小组能够按要求积极参加集体备课，备课内容详实，分担工作完成好，得4分，主备人每次加0.5分，讲先行课每次加1分。④课时备课（10分）：教师课前要认真备课，备课书写要认真、详细、有针对性，要思路清晰、目标明确、突出重点、突破难点，符合课程标准，教学效果好。评分办法：A.与教学进度不同步，项目不齐全扣2分。B.过程过简或书写潦草酌情扣1-3分。C.无板书设计、练习设计、课后反思或小结酌情扣1-2分。D.封面填写不齐全扣1分。使用旧备课或无备课该项为0分;小学科备课根据标识程度酌情扣</w:t>
      </w:r>
      <w:r>
        <w:rPr>
          <w:rFonts w:hint="eastAsia" w:ascii="仿宋_GB2312" w:eastAsia="仿宋_GB2312"/>
          <w:sz w:val="32"/>
          <w:szCs w:val="32"/>
          <w:lang w:val="en-US" w:eastAsia="zh-CN"/>
        </w:rPr>
        <w:t>1</w:t>
      </w:r>
      <w:r>
        <w:rPr>
          <w:rFonts w:hint="eastAsia" w:ascii="仿宋_GB2312" w:eastAsia="仿宋_GB2312"/>
          <w:sz w:val="32"/>
          <w:szCs w:val="32"/>
        </w:rPr>
        <w:t>-10分。E.教龄10年以内教师必须全部手写详案。10年以上的教师每单元至少一课详案，其余的可以是简案。F.教师在备课时必须用好《各科教师用书》并留下痕迹，否则扣3分。G.教学反思体现在备课中，没有的或不符合的每课时扣0.5分。</w:t>
      </w:r>
      <w:r>
        <w:rPr>
          <w:rFonts w:hint="eastAsia" w:ascii="仿宋_GB2312" w:eastAsia="仿宋_GB2312"/>
          <w:color w:val="000000"/>
          <w:sz w:val="32"/>
          <w:szCs w:val="32"/>
          <w:shd w:val="clear" w:color="auto" w:fill="FFFFFF"/>
        </w:rPr>
        <w:t>⑤县教研股检查时，课堂教学、</w:t>
      </w:r>
      <w:r>
        <w:rPr>
          <w:rFonts w:hint="eastAsia" w:ascii="仿宋_GB2312" w:eastAsia="仿宋_GB2312"/>
          <w:color w:val="000000"/>
          <w:sz w:val="32"/>
          <w:szCs w:val="32"/>
        </w:rPr>
        <w:t>说课答辩、备课考查（总分30分）：A</w:t>
      </w:r>
      <w:r>
        <w:rPr>
          <w:rFonts w:hint="eastAsia" w:ascii="仿宋_GB2312" w:eastAsia="仿宋_GB2312"/>
          <w:sz w:val="32"/>
          <w:szCs w:val="32"/>
        </w:rPr>
        <w:t>.课标对本年级段的要求（如生字教学在所处年级的认识、处理）。B.抽某一课堂教学内容，说说（写）教材分析（含在单元目标分析）、教学目标、重难点及重点的突出，难点的突破。怎么上的，有何收获和困惑。该课在年级段的地位、与前后知识的联系。C.在教学中你运用了哪些教法，教给了学生哪些学法。教师课前要认真备课，备课书写要认真、详细、有针对性，要思路清晰、目标明确、突出重点、突破难点，符合课程标准，教学效果好。注：1.无论何种形式的备课县抽查时都要进行说课答辩；通过答辩发现备课与上课不相符者酌情扣3-6分。（2）</w:t>
      </w:r>
      <w:r>
        <w:rPr>
          <w:rFonts w:hint="eastAsia" w:ascii="仿宋_GB2312" w:eastAsia="仿宋_GB2312"/>
          <w:color w:val="000000"/>
          <w:sz w:val="32"/>
          <w:szCs w:val="32"/>
        </w:rPr>
        <w:t>作业及批改（30分）。</w:t>
      </w:r>
      <w:r>
        <w:rPr>
          <w:rFonts w:hint="eastAsia" w:ascii="仿宋_GB2312" w:eastAsia="仿宋_GB2312"/>
          <w:sz w:val="32"/>
          <w:szCs w:val="32"/>
        </w:rPr>
        <w:t>①按《兰陵县小学各科作业设置及批改要求》设置作业，及时批改作业。②作业基本要求：A.作业要及时批改，一律用等级制（A、B、C、D），批语要认真、规范，要有针对性的鼓励性语言或符号，日期要准确，不得出现空批或生批，绝不允许大对号(大叉号)。B.教师写作业封面（3分）。C.作业要有错误订正，教师要二次批阅（5分）。D.作业量的设置不恰当酌情扣2分，学生用笔不规范或书写潦草酌情扣3分，格式不正确扣2分。一二年级基础训练教师全批全改；其他可以师生互批。③评分办法：A.一至六年级，各科实践性作业每学期数量：语文2次，数学低年级2次、中3次、高4次，科学1次，品德4次，缺科或没有的扣5-10分。B.一二年级，四线田格以课文篇目确定次数，每课一次（一年级在拼音之后开始）少1次扣0.5分，大对号扣2分、无激励语言及符号扣1分，批改无效或错题无订正扣2分。</w:t>
      </w:r>
      <w:r>
        <w:rPr>
          <w:rFonts w:hint="eastAsia" w:ascii="仿宋_GB2312" w:eastAsia="仿宋_GB2312"/>
          <w:sz w:val="32"/>
          <w:szCs w:val="32"/>
        </w:rPr>
        <w:tab/>
      </w:r>
      <w:r>
        <w:rPr>
          <w:rFonts w:hint="eastAsia" w:ascii="仿宋_GB2312" w:eastAsia="仿宋_GB2312"/>
          <w:sz w:val="32"/>
          <w:szCs w:val="32"/>
        </w:rPr>
        <w:t>C.一年级，汉语拼音13次，每课一次，少1次扣1分，用大对号批改或无批语扣1分。D.一至六年级，写字16次，少2次扣1分，用对号批改写字扣2分、无激励语言及符号扣1分，错字无订正扣1分。（注：一年级10次）E.一年级下学期和二年级，写话10次，少1次扣1分，用大对号批改或无批语扣2分，批语无针对性、无指导性的扣2-5分。F.三至六年级，语文课堂作业，以精读课文篇目确定次数,二年级24次，三年级20次,四年级18次,五年级14次,六年级14次。少1次扣1分,无激励语言或符号扣0.5分/次,错题无订正或有订正无订正批改扣0.5分/次。G.三至六年级，作文8次，少一次扣1分。无眉批、旁批、尾批及修改符号扣0.5分/项。批语无针对性、无指导性的扣2-5分。H.三至六年级，课外练笔三、四年级10次，五、六年级12次，少一次扣1分。内容不能与大作文相同，要体现本单元的写作训练点，可包括：日记、周记、片段训练、读书笔记等。I.一至六年级，数学作业45次，少3次扣1分，大对号扣2分、无激励语言及符号扣1分，错题无订正扣2分。J.三至六年级，英语课堂作业：三年级12次，四至六年级（每单元不少于3次）。少一次扣0.5分。K.三至六年级，品社、科学各15次，按《兰陵县作业设置与批改要求》，无批改或不符要求扣分2分。少一次扣0.5分。L.一至六年级，美术16，每少2次扣1分，作业主题不统一酌情扣2分。M.一至六年级，语数英的基训或配套，一二年级基础训练全批全改；三至六任选其中一种，师生互批相结合，有讲评、订正，无空题、错题。酌情扣1-3分。</w:t>
      </w:r>
      <w:r>
        <w:rPr>
          <w:rFonts w:hint="eastAsia" w:ascii="仿宋_GB2312" w:eastAsia="仿宋_GB2312"/>
          <w:color w:val="000000"/>
          <w:sz w:val="32"/>
          <w:szCs w:val="32"/>
        </w:rPr>
        <w:t>④音体美老师的作业赋分办法：根据抽测学生的能力和素质赋分。（3）单元测试（25分）。</w:t>
      </w:r>
      <w:r>
        <w:rPr>
          <w:rFonts w:hint="eastAsia" w:ascii="仿宋_GB2312" w:eastAsia="仿宋_GB2312"/>
          <w:sz w:val="32"/>
          <w:szCs w:val="32"/>
        </w:rPr>
        <w:t>数量：语数单元试卷8次+过关试卷2次，英语单元试卷6次。结果呈现方式：批改星级+等级，或者等级+等级都可。①教师全批全改，有学生替改扣3分/次。②不及时讲评或错题无订正扣2分/次。 ③试卷分析浅显，书写潦草扣2分/次。</w:t>
      </w:r>
      <w:r>
        <w:rPr>
          <w:rFonts w:hint="eastAsia" w:ascii="仿宋_GB2312" w:eastAsia="仿宋_GB2312"/>
          <w:color w:val="000000"/>
          <w:sz w:val="32"/>
          <w:szCs w:val="32"/>
        </w:rPr>
        <w:t>④单</w:t>
      </w:r>
      <w:r>
        <w:rPr>
          <w:rFonts w:hint="eastAsia" w:ascii="仿宋_GB2312" w:eastAsia="仿宋_GB2312"/>
          <w:sz w:val="32"/>
          <w:szCs w:val="32"/>
        </w:rPr>
        <w:t>元测试包括成绩册、试卷分析，试卷要装订整齐，存档备查。少一次扣5分。（4）听评课（7分）。教师要积极参加市、县及学校组织的教学活动，并及时认真地做好记录，虚心向教学经验先进的骨干教师学习课堂教学经验，记好听课记录。记录要真实、有针对性。①项目不全、记录简单扣0.5分/次，20次每少一次扣1分；②无小结建议无点评扣1分/次；③弄虚作假，抄袭或使用旧材料不得分。（5）理论学习（读书）笔记（4分）。学习内容：要求每位老师每学期读一本教育理论专注、各科《课程标准》及各种教育教学理论，写一本理论读书笔记。要求：项目齐全，书写工整认真，每学期不少于20篇，共计40页，每少一篇扣0.3分；内容简单、书写潦草扣0.3分/次；内容不符合要求酌情扣0.5-2分。（6）会议记录（4分）详细记录每次会议内容，每少一次扣0.3分。（7）教学管理其它评价标准：①学校教研活动要以课题为抓手，展开各项教研活动，包括集体备课、课堂教学、专题培训、质量评价、课题研究等活动，每次并有详实记录，由教导处量化赋分。各种教研活动以签到表为准，签到一次加0.3分。（单元集体备课主讲人和校级公开课执教人，效果好，每次加1分。）学期末进行汇总。②学校组织的公开课、典型发言、公开讲座等每人次加3分。③上交材料，不按时上报扣1分，迟报累计扣0.5分。</w:t>
      </w:r>
      <w:r>
        <w:rPr>
          <w:rFonts w:hint="eastAsia" w:ascii="仿宋_GB2312" w:eastAsia="仿宋_GB2312"/>
          <w:b/>
          <w:bCs/>
          <w:sz w:val="32"/>
          <w:szCs w:val="32"/>
        </w:rPr>
        <w:t>2.教师专业发展（50分）。</w:t>
      </w:r>
      <w:r>
        <w:rPr>
          <w:rFonts w:hint="eastAsia" w:ascii="仿宋_GB2312" w:eastAsia="仿宋_GB2312"/>
          <w:sz w:val="32"/>
          <w:szCs w:val="32"/>
        </w:rPr>
        <w:t>包括县级以上的综合荣誉、讲课比赛、公开课、示范课、优秀教学奖、业务能力大赛、辅导奖，论文（课件）评选，发表论文，课题研究，发明创造和科技进步等，以获得的教育教学类荣誉证书原件为准。（1）讲课比赛（各学科技能比赛）（10分）:省级及以上一、二、三等奖（分别加10、8.5、7分），市级一、二、三等奖（分别加7、5.5、4分），县级一、二、三等奖（分别加4、2.5、0分），校级一、二、三等奖（分别加1、0.5分、0分），导师（仅限1名）根据奖次加1/2的分。录像课、微课、一师一优课，与同级别、同等次的讲课比赛相比，降低一个档次。各级公开课、教学能手、名师得同级一等奖讲课比赛的分。片区联研公开课等同县级二等奖。辅导奖有等次的，一等奖按国家、省、市、县分别计3、2.5、2、1.5分；二等奖按国家、省、市、县分别计2.5、2、1.5、1分；优秀辅导奖降一个等次计分。三等奖不计分。（2）优秀教学质量奖市、县级分别为5、3分；县级教学成果奖一、二、三等奖分别为3、2、1分。（3）论文（课件、案例、教科研成果）评选（5分）：必须是教育主管部门通知评选的获奖论文（其他部门评选的不算）（参加外出学习培训颁发的论文证书不算）。国家级一、二、三等奖分别为5、3、2分；省级一、二、三等奖分别为4、2、1分；市级一、二、三等奖分别为3、1、0.5分；县级一、二等奖分别为1、0.5分；（4）发表论文（2分）（必须和教育教学密切相关，在国家正式报刊上发表，在知网上能查到的，字数在1500字以上）：国家级2分；省级1分。（5）课题研究（10分）：通过国家级结题鉴定的10分，批准立项的5分；通过省级结题鉴定的5分，批准立项的3分；通过市级结题鉴定的3分，批准立项的2分；通过县级结题鉴定的2分，批准立项的1分；校级课题0.5分。以课题为单位，只为课题负责人计分。</w:t>
      </w:r>
      <w:r>
        <w:rPr>
          <w:rFonts w:hint="eastAsia" w:ascii="仿宋_GB2312" w:eastAsia="仿宋_GB2312"/>
          <w:sz w:val="32"/>
          <w:szCs w:val="32"/>
          <w:shd w:val="clear" w:color="auto" w:fill="FFFFFF"/>
        </w:rPr>
        <w:t>（6）</w:t>
      </w:r>
      <w:r>
        <w:rPr>
          <w:rFonts w:hint="eastAsia" w:ascii="仿宋_GB2312" w:eastAsia="仿宋_GB2312"/>
          <w:sz w:val="32"/>
          <w:szCs w:val="32"/>
        </w:rPr>
        <w:t>教师节表彰的优秀教师、优秀教育工作者、优秀班主任等，国家级加10分，省级加8分，市级加6分，县级加4分；远程研修优秀组长、指导老师、优秀学员加1分。除教体局、人社局、党委政府外，其他单位表彰的综合荣誉按级别减半计算（如团委、工会、妇联等单位）。</w:t>
      </w:r>
      <w:r>
        <w:rPr>
          <w:rFonts w:hint="eastAsia" w:ascii="仿宋_GB2312" w:eastAsia="仿宋_GB2312"/>
          <w:sz w:val="32"/>
          <w:szCs w:val="32"/>
          <w:shd w:val="clear" w:color="auto" w:fill="FFFFFF"/>
        </w:rPr>
        <w:t>（7）</w:t>
      </w:r>
      <w:r>
        <w:rPr>
          <w:rFonts w:hint="eastAsia" w:ascii="仿宋_GB2312" w:eastAsia="仿宋_GB2312"/>
          <w:sz w:val="32"/>
          <w:szCs w:val="32"/>
        </w:rPr>
        <w:t>说明：讲课比赛、公开课、论文评选、课题研究等证书原件必须为各级教育主管部门主办的，并以证书颁发部门和落款时间为准。同类证件不重复加分，以最高一项为准，各项合计最高分为40分。证书时限以学年度为单位分两学期统计。同学年只使用计分一次。见证书原件为准。</w:t>
      </w:r>
      <w:r>
        <w:rPr>
          <w:rFonts w:hint="eastAsia" w:ascii="仿宋_GB2312" w:eastAsia="仿宋_GB2312"/>
          <w:b/>
          <w:bCs/>
          <w:sz w:val="32"/>
          <w:szCs w:val="32"/>
        </w:rPr>
        <w:t>3.工作量（100分）。</w:t>
      </w:r>
      <w:r>
        <w:rPr>
          <w:rFonts w:hint="eastAsia" w:ascii="仿宋_GB2312" w:eastAsia="仿宋_GB2312"/>
          <w:sz w:val="32"/>
          <w:szCs w:val="32"/>
        </w:rPr>
        <w:t>全体教职工每周工作量计算办法：标准工作量（周任课节数为准：语文、数学12节，英语14节，常识16节，音乐、体育、美术、信息技术及其它学科18节）得90分，比标准工作量多一节加5分，少一节减5分。校长、中层正职担任所任学科规定课时量的2/3以上的为满工作量，</w:t>
      </w:r>
      <w:r>
        <w:rPr>
          <w:rFonts w:hint="eastAsia" w:ascii="仿宋_GB2312" w:eastAsia="仿宋_GB2312"/>
          <w:sz w:val="32"/>
          <w:szCs w:val="32"/>
          <w:lang w:eastAsia="zh-CN"/>
        </w:rPr>
        <w:t>校长和副校长加</w:t>
      </w:r>
      <w:r>
        <w:rPr>
          <w:rFonts w:hint="eastAsia" w:ascii="仿宋_GB2312" w:eastAsia="仿宋_GB2312"/>
          <w:sz w:val="32"/>
          <w:szCs w:val="32"/>
          <w:lang w:val="en-US" w:eastAsia="zh-CN"/>
        </w:rPr>
        <w:t>100分，</w:t>
      </w:r>
      <w:r>
        <w:rPr>
          <w:rFonts w:hint="eastAsia" w:ascii="仿宋_GB2312" w:eastAsia="仿宋_GB2312"/>
          <w:sz w:val="32"/>
          <w:szCs w:val="32"/>
        </w:rPr>
        <w:t>处室主任加</w:t>
      </w:r>
      <w:r>
        <w:rPr>
          <w:rFonts w:hint="eastAsia" w:ascii="仿宋_GB2312" w:eastAsia="仿宋_GB2312"/>
          <w:sz w:val="32"/>
          <w:szCs w:val="32"/>
          <w:lang w:val="en-US" w:eastAsia="zh-CN"/>
        </w:rPr>
        <w:t>5</w:t>
      </w:r>
      <w:r>
        <w:rPr>
          <w:rFonts w:hint="eastAsia" w:ascii="仿宋_GB2312" w:eastAsia="仿宋_GB2312"/>
          <w:sz w:val="32"/>
          <w:szCs w:val="32"/>
        </w:rPr>
        <w:t>0分，处室副主任、教研组长加20分。学籍管理员、固定资产管理员、处室工作人员加10分。功能室管理人员、理财小组成员、收费管理员加5分。</w:t>
      </w:r>
      <w:r>
        <w:rPr>
          <w:rFonts w:hint="eastAsia" w:ascii="仿宋_GB2312" w:eastAsia="仿宋_GB2312"/>
          <w:color w:val="000000"/>
          <w:sz w:val="32"/>
          <w:szCs w:val="32"/>
        </w:rPr>
        <w:t>(计算以周课时量计算，兼职第一个按3/5加，第二个按1/2加，第三个按1/3加，此项最多算四项)。</w:t>
      </w:r>
      <w:r>
        <w:rPr>
          <w:rFonts w:hint="eastAsia" w:ascii="仿宋_GB2312" w:eastAsia="仿宋_GB2312"/>
          <w:sz w:val="32"/>
          <w:szCs w:val="32"/>
        </w:rPr>
        <w:t>跨年级、跨学科的加5分，</w:t>
      </w:r>
      <w:r>
        <w:rPr>
          <w:rFonts w:hint="eastAsia" w:ascii="仿宋_GB2312" w:eastAsia="仿宋_GB2312"/>
          <w:b/>
          <w:bCs/>
          <w:color w:val="000000"/>
          <w:sz w:val="32"/>
          <w:szCs w:val="32"/>
        </w:rPr>
        <w:t>音体美老师</w:t>
      </w:r>
      <w:r>
        <w:rPr>
          <w:rFonts w:hint="eastAsia" w:ascii="仿宋_GB2312" w:eastAsia="仿宋_GB2312"/>
          <w:b/>
          <w:bCs/>
          <w:color w:val="000000"/>
          <w:sz w:val="32"/>
          <w:szCs w:val="32"/>
          <w:lang w:eastAsia="zh-CN"/>
        </w:rPr>
        <w:t>及其他学科老师</w:t>
      </w:r>
      <w:r>
        <w:rPr>
          <w:rFonts w:hint="eastAsia" w:ascii="仿宋_GB2312" w:eastAsia="仿宋_GB2312"/>
          <w:b/>
          <w:bCs/>
          <w:color w:val="000000"/>
          <w:sz w:val="32"/>
          <w:szCs w:val="32"/>
        </w:rPr>
        <w:t>组织学校安排的</w:t>
      </w:r>
      <w:r>
        <w:rPr>
          <w:rFonts w:hint="eastAsia" w:ascii="仿宋_GB2312" w:eastAsia="仿宋_GB2312"/>
          <w:b/>
          <w:bCs/>
          <w:color w:val="000000"/>
          <w:sz w:val="32"/>
          <w:szCs w:val="32"/>
          <w:lang w:eastAsia="zh-CN"/>
        </w:rPr>
        <w:t>兴趣小组、</w:t>
      </w:r>
      <w:r>
        <w:rPr>
          <w:rFonts w:hint="eastAsia" w:ascii="仿宋_GB2312" w:eastAsia="仿宋_GB2312"/>
          <w:b/>
          <w:bCs/>
          <w:color w:val="000000"/>
          <w:sz w:val="32"/>
          <w:szCs w:val="32"/>
        </w:rPr>
        <w:t>文娱活动和社团活动，</w:t>
      </w:r>
      <w:r>
        <w:rPr>
          <w:rFonts w:hint="eastAsia" w:ascii="仿宋_GB2312" w:eastAsia="仿宋_GB2312"/>
          <w:b/>
          <w:bCs/>
          <w:color w:val="000000"/>
          <w:sz w:val="32"/>
          <w:szCs w:val="32"/>
          <w:lang w:eastAsia="zh-CN"/>
        </w:rPr>
        <w:t>能定期开展工作且取得一定的成效，每学期加</w:t>
      </w:r>
      <w:r>
        <w:rPr>
          <w:rFonts w:hint="eastAsia" w:ascii="仿宋_GB2312" w:eastAsia="仿宋_GB2312"/>
          <w:b/>
          <w:bCs/>
          <w:color w:val="000000"/>
          <w:sz w:val="32"/>
          <w:szCs w:val="32"/>
          <w:lang w:val="en-US" w:eastAsia="zh-CN"/>
        </w:rPr>
        <w:t>50</w:t>
      </w:r>
      <w:r>
        <w:rPr>
          <w:rFonts w:hint="eastAsia" w:ascii="仿宋_GB2312" w:eastAsia="仿宋_GB2312"/>
          <w:b/>
          <w:bCs/>
          <w:color w:val="000000"/>
          <w:sz w:val="32"/>
          <w:szCs w:val="32"/>
        </w:rPr>
        <w:t>分。</w:t>
      </w:r>
      <w:r>
        <w:rPr>
          <w:rFonts w:hint="eastAsia" w:ascii="仿宋_GB2312" w:eastAsia="仿宋_GB2312"/>
          <w:b/>
          <w:bCs/>
          <w:sz w:val="32"/>
          <w:szCs w:val="32"/>
        </w:rPr>
        <w:t>班主任一学期加</w:t>
      </w:r>
      <w:r>
        <w:rPr>
          <w:rFonts w:hint="eastAsia" w:ascii="仿宋_GB2312" w:eastAsia="仿宋_GB2312"/>
          <w:b/>
          <w:bCs/>
          <w:sz w:val="32"/>
          <w:szCs w:val="32"/>
          <w:lang w:val="en-US" w:eastAsia="zh-CN"/>
        </w:rPr>
        <w:t>3</w:t>
      </w:r>
      <w:r>
        <w:rPr>
          <w:rFonts w:hint="eastAsia" w:ascii="仿宋_GB2312" w:eastAsia="仿宋_GB2312"/>
          <w:b/>
          <w:bCs/>
          <w:sz w:val="32"/>
          <w:szCs w:val="32"/>
        </w:rPr>
        <w:t>0分。</w:t>
      </w:r>
      <w:r>
        <w:rPr>
          <w:rFonts w:hint="eastAsia" w:ascii="仿宋_GB2312" w:eastAsia="仿宋_GB2312"/>
          <w:sz w:val="32"/>
          <w:szCs w:val="32"/>
        </w:rPr>
        <w:t>请假教师自行调课，保证不空堂，不予扣分，请假空堂的扣任课老师2分/节。</w:t>
      </w:r>
      <w:r>
        <w:rPr>
          <w:rFonts w:hint="eastAsia" w:ascii="仿宋_GB2312" w:eastAsia="仿宋_GB2312"/>
          <w:color w:val="000000"/>
          <w:sz w:val="32"/>
          <w:szCs w:val="32"/>
        </w:rPr>
        <w:t>此项加分需要圆满完成各自负责的相关任务，由考评领导小组共同认定后给予计算。</w:t>
      </w:r>
      <w:r>
        <w:rPr>
          <w:rFonts w:hint="eastAsia" w:ascii="仿宋_GB2312" w:eastAsia="仿宋_GB2312"/>
          <w:b/>
          <w:bCs/>
          <w:sz w:val="32"/>
          <w:szCs w:val="32"/>
        </w:rPr>
        <w:t>4.班级管理(50分)。</w:t>
      </w:r>
      <w:r>
        <w:rPr>
          <w:rFonts w:hint="eastAsia" w:ascii="仿宋_GB2312" w:eastAsia="仿宋_GB2312"/>
          <w:sz w:val="32"/>
          <w:szCs w:val="32"/>
        </w:rPr>
        <w:t>班级管理的积分由政教处按照《兰陵县第十四小学班级量化评估标准》计算，任课教师（为不是班主任的语数老师或学期初指定的相关代课老师，以下同）量化分要同班主任量化分挂钩(班级量化第一名为50分，其它以第一名作分母计算得分，任课教师得分为：班主任得分×60%。其他老师此项分数为最低任课老师得分。)</w:t>
      </w:r>
    </w:p>
    <w:p>
      <w:pPr>
        <w:keepNext w:val="0"/>
        <w:keepLines w:val="0"/>
        <w:pageBreakBefore w:val="0"/>
        <w:widowControl w:val="0"/>
        <w:kinsoku/>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sz w:val="32"/>
          <w:szCs w:val="32"/>
        </w:rPr>
      </w:pPr>
      <w:r>
        <w:rPr>
          <w:rFonts w:hint="eastAsia" w:ascii="楷体" w:hAnsi="楷体" w:eastAsia="楷体"/>
          <w:sz w:val="32"/>
          <w:szCs w:val="32"/>
        </w:rPr>
        <w:t>（三）勤（100分）。</w:t>
      </w:r>
      <w:r>
        <w:rPr>
          <w:rFonts w:hint="eastAsia" w:ascii="仿宋_GB2312" w:eastAsia="仿宋_GB2312"/>
          <w:sz w:val="32"/>
          <w:szCs w:val="32"/>
        </w:rPr>
        <w:t>考勤依据《兰陵县第十四小学教职工考勤管理制度》。考勤100分若不够减时，可以从量化总分中扣除，扣完为止。</w:t>
      </w:r>
    </w:p>
    <w:p>
      <w:pPr>
        <w:keepNext w:val="0"/>
        <w:keepLines w:val="0"/>
        <w:pageBreakBefore w:val="0"/>
        <w:widowControl w:val="0"/>
        <w:kinsoku/>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color w:val="000000" w:themeColor="text1"/>
          <w:sz w:val="32"/>
          <w:szCs w:val="32"/>
        </w:rPr>
      </w:pPr>
      <w:r>
        <w:rPr>
          <w:rFonts w:hint="eastAsia" w:ascii="楷体" w:hAnsi="楷体" w:eastAsia="楷体"/>
          <w:sz w:val="32"/>
          <w:szCs w:val="32"/>
        </w:rPr>
        <w:t>（四）绩（500分）。</w:t>
      </w:r>
      <w:r>
        <w:rPr>
          <w:rFonts w:hint="eastAsia" w:ascii="仿宋_GB2312" w:eastAsia="仿宋_GB2312"/>
          <w:b/>
          <w:bCs/>
          <w:sz w:val="32"/>
          <w:szCs w:val="32"/>
        </w:rPr>
        <w:t>1.考试学科成绩分析办法：</w:t>
      </w:r>
      <w:r>
        <w:rPr>
          <w:rFonts w:hint="eastAsia" w:ascii="仿宋_GB2312" w:eastAsia="仿宋_GB2312"/>
          <w:sz w:val="32"/>
          <w:szCs w:val="32"/>
        </w:rPr>
        <w:t>统算成绩时以班级人数95%（收尾法）为分析样本，考试学科教师成绩评价按优秀率、及格率两项各占30分计算，平均分占35分。计算公式为：30×本人及格率÷最高及格率+30×本人优秀率÷最高优秀率+35×本人平均分÷最高平均分。满分为95分，书写另占5分，分三个档次。一档5分；二档4分；三档3分。同年级同学科排名次。代两科、两班以上则取平均值计算后赋分，同一个老师带同年级、同学科两个班以上的名次只要是相邻的按最高的名次。品社、科学、英语学科教学成绩评估办法：同学科的几位老师按所带年级学科的及格率、优秀率计算后排名。同时兼带考试科（语文、数学、英语）和考查科（品社、科学）。带一大科和一小科的，大科占60%，小科占40%；带一大科两小科的，大科占60%，小科各占20%；带一大科和三小科的，大科占60%，小科各占13.3%。（跨学科、跨班级所带的学科，成绩好的按大科，其它按小科计算；跨年级带常识、英语、学科，先按年级计算出来，成绩好的按大科，其它按小科计算。）</w:t>
      </w:r>
      <w:r>
        <w:rPr>
          <w:rFonts w:hint="eastAsia" w:ascii="仿宋_GB2312" w:eastAsia="仿宋_GB2312"/>
          <w:b/>
          <w:bCs/>
          <w:sz w:val="32"/>
          <w:szCs w:val="32"/>
        </w:rPr>
        <w:t>2.非考试学科教师成绩评价：</w:t>
      </w:r>
      <w:r>
        <w:rPr>
          <w:rFonts w:hint="eastAsia" w:ascii="仿宋_GB2312" w:hAnsi="仿宋_GB2312" w:eastAsia="仿宋_GB2312" w:cs="仿宋_GB2312"/>
          <w:b w:val="0"/>
          <w:bCs w:val="0"/>
          <w:color w:val="000000"/>
          <w:sz w:val="32"/>
          <w:szCs w:val="32"/>
        </w:rPr>
        <w:t>（1）音体美老师的成绩按照语数老师的平均分执行。</w:t>
      </w:r>
      <w:r>
        <w:rPr>
          <w:rFonts w:hint="eastAsia" w:ascii="仿宋_GB2312" w:eastAsia="仿宋_GB2312"/>
          <w:sz w:val="32"/>
          <w:szCs w:val="32"/>
        </w:rPr>
        <w:t>音体美或其他学科老师辅导的兴趣小组、运动队、阳光体育、经典诵读比赛、合唱比赛等，若在省、市、县大型团体活动比赛中代表学校参赛，获团体一、二、三等奖的，分别加50分、30分、20分。没有团体奖的老师按10分计算。注：团体奖界定标准：一是获得的奖是否给学校加分，二是否有团体奖牌，两者必须都具备，缺一不可。</w:t>
      </w:r>
      <w:r>
        <w:rPr>
          <w:rFonts w:hint="eastAsia" w:ascii="仿宋_GB2312" w:eastAsia="仿宋_GB2312"/>
          <w:b/>
          <w:bCs/>
          <w:sz w:val="32"/>
          <w:szCs w:val="32"/>
        </w:rPr>
        <w:t>（2）其他无法抽测量化的学科教师</w:t>
      </w:r>
      <w:r>
        <w:rPr>
          <w:rFonts w:hint="eastAsia" w:ascii="仿宋_GB2312" w:eastAsia="仿宋_GB2312"/>
          <w:b/>
          <w:bCs/>
          <w:sz w:val="32"/>
          <w:szCs w:val="32"/>
          <w:lang w:eastAsia="zh-CN"/>
        </w:rPr>
        <w:t>及产假的</w:t>
      </w:r>
      <w:r>
        <w:rPr>
          <w:rFonts w:hint="eastAsia" w:ascii="仿宋_GB2312" w:eastAsia="仿宋_GB2312"/>
          <w:b/>
          <w:bCs/>
          <w:sz w:val="32"/>
          <w:szCs w:val="32"/>
        </w:rPr>
        <w:t>按</w:t>
      </w:r>
      <w:r>
        <w:rPr>
          <w:rFonts w:hint="eastAsia" w:ascii="仿宋_GB2312" w:eastAsia="仿宋_GB2312"/>
          <w:b/>
          <w:bCs/>
          <w:sz w:val="32"/>
          <w:szCs w:val="32"/>
          <w:lang w:eastAsia="zh-CN"/>
        </w:rPr>
        <w:t>任课教师的平均分</w:t>
      </w:r>
      <w:r>
        <w:rPr>
          <w:rFonts w:hint="eastAsia" w:ascii="仿宋_GB2312" w:eastAsia="仿宋_GB2312"/>
          <w:b/>
          <w:bCs/>
          <w:sz w:val="32"/>
          <w:szCs w:val="32"/>
        </w:rPr>
        <w:t>折合计算。</w:t>
      </w:r>
      <w:r>
        <w:rPr>
          <w:rFonts w:hint="eastAsia" w:ascii="仿宋_GB2312" w:eastAsia="仿宋_GB2312"/>
          <w:sz w:val="32"/>
          <w:szCs w:val="32"/>
        </w:rPr>
        <w:t>（3）每学期学科教学成绩分析评估积分按照期中占50%、期末占50%计分（如果有月考则月考成绩分摊总成绩）。</w:t>
      </w:r>
      <w:r>
        <w:rPr>
          <w:rFonts w:hint="eastAsia" w:ascii="仿宋_GB2312" w:eastAsia="仿宋_GB2312"/>
          <w:b/>
          <w:bCs/>
          <w:sz w:val="32"/>
          <w:szCs w:val="32"/>
        </w:rPr>
        <w:t>3.巩固提高：</w:t>
      </w:r>
      <w:r>
        <w:rPr>
          <w:rFonts w:hint="eastAsia" w:ascii="仿宋_GB2312" w:eastAsia="仿宋_GB2312"/>
          <w:sz w:val="32"/>
          <w:szCs w:val="32"/>
        </w:rPr>
        <w:t>①</w:t>
      </w:r>
      <w:r>
        <w:rPr>
          <w:rFonts w:hint="eastAsia" w:ascii="仿宋_GB2312" w:eastAsia="仿宋_GB2312"/>
          <w:color w:val="000000" w:themeColor="text1"/>
          <w:sz w:val="32"/>
          <w:szCs w:val="32"/>
        </w:rPr>
        <w:t>巩固分：语第一名加60分，第二名加45分，第三名加30分；数第一名加60分，第二名加45分，第三名加30分；英语第一名加60分，第二名加45分，第三名加30分。品社、科学第一名加30分，第二名加25分，第三名加20分（任同年级同学科一个班以上的教师名次相邻的按好名次计算。）②提高分：折合名次（以一至六年级中班数最少的年级班数为标准，其它年级按标准折合有效数的按“四舍五入”法确定名次）。</w:t>
      </w:r>
      <w:r>
        <w:rPr>
          <w:rFonts w:hint="eastAsia" w:ascii="仿宋_GB2312" w:eastAsia="仿宋_GB2312"/>
          <w:b/>
          <w:bCs/>
          <w:color w:val="000000" w:themeColor="text1"/>
          <w:sz w:val="32"/>
          <w:szCs w:val="32"/>
        </w:rPr>
        <w:t>语文</w:t>
      </w:r>
      <w:r>
        <w:rPr>
          <w:rFonts w:hint="eastAsia" w:ascii="仿宋_GB2312" w:eastAsia="仿宋_GB2312"/>
          <w:b/>
          <w:bCs/>
          <w:color w:val="000000" w:themeColor="text1"/>
          <w:sz w:val="32"/>
          <w:szCs w:val="32"/>
          <w:lang w:eastAsia="zh-CN"/>
        </w:rPr>
        <w:t>、数学、英语</w:t>
      </w:r>
      <w:r>
        <w:rPr>
          <w:rFonts w:hint="eastAsia" w:ascii="仿宋_GB2312" w:eastAsia="仿宋_GB2312"/>
          <w:b/>
          <w:bCs/>
          <w:color w:val="000000" w:themeColor="text1"/>
          <w:sz w:val="32"/>
          <w:szCs w:val="32"/>
        </w:rPr>
        <w:t>上升</w:t>
      </w:r>
      <w:r>
        <w:rPr>
          <w:rFonts w:hint="eastAsia" w:ascii="仿宋_GB2312" w:eastAsia="仿宋_GB2312"/>
          <w:b/>
          <w:bCs/>
          <w:color w:val="000000" w:themeColor="text1"/>
          <w:sz w:val="32"/>
          <w:szCs w:val="32"/>
          <w:lang w:val="en-US" w:eastAsia="zh-CN"/>
        </w:rPr>
        <w:t>300</w:t>
      </w:r>
      <w:r>
        <w:rPr>
          <w:rFonts w:hint="eastAsia" w:ascii="仿宋_GB2312" w:eastAsia="仿宋_GB2312"/>
          <w:b/>
          <w:bCs/>
          <w:color w:val="000000" w:themeColor="text1"/>
          <w:sz w:val="32"/>
          <w:szCs w:val="32"/>
        </w:rPr>
        <w:t>个名次加10</w:t>
      </w:r>
      <w:r>
        <w:rPr>
          <w:rFonts w:hint="eastAsia" w:ascii="仿宋_GB2312" w:eastAsia="仿宋_GB2312"/>
          <w:b/>
          <w:bCs/>
          <w:color w:val="000000" w:themeColor="text1"/>
          <w:sz w:val="32"/>
          <w:szCs w:val="32"/>
          <w:lang w:val="en-US" w:eastAsia="zh-CN"/>
        </w:rPr>
        <w:t>0</w:t>
      </w:r>
      <w:r>
        <w:rPr>
          <w:rFonts w:hint="eastAsia" w:ascii="仿宋_GB2312" w:eastAsia="仿宋_GB2312"/>
          <w:b/>
          <w:bCs/>
          <w:color w:val="000000" w:themeColor="text1"/>
          <w:sz w:val="32"/>
          <w:szCs w:val="32"/>
        </w:rPr>
        <w:t>分，上升</w:t>
      </w:r>
      <w:r>
        <w:rPr>
          <w:rFonts w:hint="eastAsia" w:ascii="仿宋_GB2312" w:eastAsia="仿宋_GB2312"/>
          <w:b/>
          <w:bCs/>
          <w:color w:val="000000" w:themeColor="text1"/>
          <w:sz w:val="32"/>
          <w:szCs w:val="32"/>
          <w:lang w:val="en-US" w:eastAsia="zh-CN"/>
        </w:rPr>
        <w:t>260</w:t>
      </w:r>
      <w:r>
        <w:rPr>
          <w:rFonts w:hint="eastAsia" w:ascii="仿宋_GB2312" w:eastAsia="仿宋_GB2312"/>
          <w:b/>
          <w:bCs/>
          <w:color w:val="000000" w:themeColor="text1"/>
          <w:sz w:val="32"/>
          <w:szCs w:val="32"/>
        </w:rPr>
        <w:t>个名次加</w:t>
      </w:r>
      <w:r>
        <w:rPr>
          <w:rFonts w:hint="eastAsia" w:ascii="仿宋_GB2312" w:eastAsia="仿宋_GB2312"/>
          <w:b/>
          <w:bCs/>
          <w:color w:val="000000" w:themeColor="text1"/>
          <w:sz w:val="32"/>
          <w:szCs w:val="32"/>
          <w:lang w:val="en-US" w:eastAsia="zh-CN"/>
        </w:rPr>
        <w:t>90</w:t>
      </w:r>
      <w:r>
        <w:rPr>
          <w:rFonts w:hint="eastAsia" w:ascii="仿宋_GB2312" w:eastAsia="仿宋_GB2312"/>
          <w:b/>
          <w:bCs/>
          <w:color w:val="000000" w:themeColor="text1"/>
          <w:sz w:val="32"/>
          <w:szCs w:val="32"/>
        </w:rPr>
        <w:t>分，上升</w:t>
      </w:r>
      <w:r>
        <w:rPr>
          <w:rFonts w:hint="eastAsia" w:ascii="仿宋_GB2312" w:eastAsia="仿宋_GB2312"/>
          <w:b/>
          <w:bCs/>
          <w:color w:val="000000" w:themeColor="text1"/>
          <w:sz w:val="32"/>
          <w:szCs w:val="32"/>
          <w:lang w:val="en-US" w:eastAsia="zh-CN"/>
        </w:rPr>
        <w:t>200</w:t>
      </w:r>
      <w:r>
        <w:rPr>
          <w:rFonts w:hint="eastAsia" w:ascii="仿宋_GB2312" w:eastAsia="仿宋_GB2312"/>
          <w:b/>
          <w:bCs/>
          <w:color w:val="000000" w:themeColor="text1"/>
          <w:sz w:val="32"/>
          <w:szCs w:val="32"/>
        </w:rPr>
        <w:t>个名次加</w:t>
      </w:r>
      <w:r>
        <w:rPr>
          <w:rFonts w:hint="eastAsia" w:ascii="仿宋_GB2312" w:eastAsia="仿宋_GB2312"/>
          <w:b/>
          <w:bCs/>
          <w:color w:val="000000" w:themeColor="text1"/>
          <w:sz w:val="32"/>
          <w:szCs w:val="32"/>
          <w:lang w:val="en-US" w:eastAsia="zh-CN"/>
        </w:rPr>
        <w:t>80</w:t>
      </w:r>
      <w:r>
        <w:rPr>
          <w:rFonts w:hint="eastAsia" w:ascii="仿宋_GB2312" w:eastAsia="仿宋_GB2312"/>
          <w:b/>
          <w:bCs/>
          <w:color w:val="000000" w:themeColor="text1"/>
          <w:sz w:val="32"/>
          <w:szCs w:val="32"/>
        </w:rPr>
        <w:t>分，上升</w:t>
      </w:r>
      <w:r>
        <w:rPr>
          <w:rFonts w:hint="eastAsia" w:ascii="仿宋_GB2312" w:eastAsia="仿宋_GB2312"/>
          <w:b/>
          <w:bCs/>
          <w:color w:val="000000" w:themeColor="text1"/>
          <w:sz w:val="32"/>
          <w:szCs w:val="32"/>
          <w:lang w:val="en-US" w:eastAsia="zh-CN"/>
        </w:rPr>
        <w:t>150</w:t>
      </w:r>
      <w:r>
        <w:rPr>
          <w:rFonts w:hint="eastAsia" w:ascii="仿宋_GB2312" w:eastAsia="仿宋_GB2312"/>
          <w:b/>
          <w:bCs/>
          <w:color w:val="000000" w:themeColor="text1"/>
          <w:sz w:val="32"/>
          <w:szCs w:val="32"/>
        </w:rPr>
        <w:t>个名次加</w:t>
      </w:r>
      <w:r>
        <w:rPr>
          <w:rFonts w:hint="eastAsia" w:ascii="仿宋_GB2312" w:eastAsia="仿宋_GB2312"/>
          <w:b/>
          <w:bCs/>
          <w:color w:val="000000" w:themeColor="text1"/>
          <w:sz w:val="32"/>
          <w:szCs w:val="32"/>
          <w:lang w:val="en-US" w:eastAsia="zh-CN"/>
        </w:rPr>
        <w:t>70</w:t>
      </w:r>
      <w:r>
        <w:rPr>
          <w:rFonts w:hint="eastAsia" w:ascii="仿宋_GB2312" w:eastAsia="仿宋_GB2312"/>
          <w:b/>
          <w:bCs/>
          <w:color w:val="000000" w:themeColor="text1"/>
          <w:sz w:val="32"/>
          <w:szCs w:val="32"/>
        </w:rPr>
        <w:t>分</w:t>
      </w:r>
      <w:r>
        <w:rPr>
          <w:rFonts w:hint="eastAsia" w:ascii="仿宋_GB2312" w:eastAsia="仿宋_GB2312"/>
          <w:b/>
          <w:bCs/>
          <w:color w:val="000000" w:themeColor="text1"/>
          <w:sz w:val="32"/>
          <w:szCs w:val="32"/>
          <w:lang w:eastAsia="zh-CN"/>
        </w:rPr>
        <w:t>；品德、科学等学科减半计算。</w:t>
      </w:r>
      <w:r>
        <w:rPr>
          <w:rFonts w:hint="eastAsia" w:ascii="仿宋_GB2312" w:eastAsia="仿宋_GB2312"/>
          <w:color w:val="000000" w:themeColor="text1"/>
          <w:sz w:val="32"/>
          <w:szCs w:val="32"/>
        </w:rPr>
        <w:t>（一年级用学校年级班数的平均数按比例计算）。③说明：计算进步名次以上学期期末成绩为准。无期末成绩或期末成绩不明确的（分合班的和一年级新生等）以期中考试作为基础分。</w:t>
      </w:r>
    </w:p>
    <w:p>
      <w:pPr>
        <w:keepNext w:val="0"/>
        <w:keepLines w:val="0"/>
        <w:pageBreakBefore w:val="0"/>
        <w:widowControl w:val="0"/>
        <w:kinsoku/>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b/>
          <w:bCs/>
          <w:color w:val="000000" w:themeColor="text1"/>
          <w:sz w:val="32"/>
          <w:szCs w:val="32"/>
        </w:rPr>
      </w:pPr>
      <w:r>
        <w:rPr>
          <w:rFonts w:hint="eastAsia" w:ascii="黑体" w:hAnsi="黑体" w:eastAsia="黑体"/>
          <w:sz w:val="32"/>
          <w:szCs w:val="32"/>
        </w:rPr>
        <w:t>五、附加分。</w:t>
      </w:r>
      <w:r>
        <w:rPr>
          <w:rFonts w:hint="eastAsia" w:ascii="仿宋_GB2312" w:eastAsia="仿宋_GB2312"/>
          <w:color w:val="000000" w:themeColor="text1"/>
          <w:sz w:val="32"/>
          <w:szCs w:val="32"/>
        </w:rPr>
        <w:t>1.学校集中组织考试参加监考及考务的教师，每监考一场给加1分，累计加分，改试卷一次加3分。2.教学评估中的课堂教学（30分），此项实施同年级同学科（除语数外其它学科，按学科不分年级）协同合作、共同评价。在市、县教学评估中的课堂教学，以同年级同学科的参加教师的得分或等次</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3、</w:t>
      </w:r>
      <w:r>
        <w:rPr>
          <w:rFonts w:hint="eastAsia" w:ascii="仿宋_GB2312" w:eastAsia="仿宋_GB2312"/>
          <w:b/>
          <w:bCs/>
          <w:color w:val="000000" w:themeColor="text1"/>
          <w:sz w:val="32"/>
          <w:szCs w:val="32"/>
          <w:lang w:eastAsia="zh-CN"/>
        </w:rPr>
        <w:t>在每学期期末统考中，语数英名次位于全县前四分之一的加</w:t>
      </w:r>
      <w:r>
        <w:rPr>
          <w:rFonts w:hint="eastAsia" w:ascii="仿宋_GB2312" w:eastAsia="仿宋_GB2312"/>
          <w:b/>
          <w:bCs/>
          <w:color w:val="000000" w:themeColor="text1"/>
          <w:sz w:val="32"/>
          <w:szCs w:val="32"/>
          <w:lang w:val="en-US" w:eastAsia="zh-CN"/>
        </w:rPr>
        <w:t>70分，名次位于全县六分之一的加80分，</w:t>
      </w:r>
      <w:r>
        <w:rPr>
          <w:rFonts w:hint="eastAsia" w:ascii="仿宋_GB2312" w:eastAsia="仿宋_GB2312"/>
          <w:b/>
          <w:bCs/>
          <w:color w:val="000000" w:themeColor="text1"/>
          <w:sz w:val="32"/>
          <w:szCs w:val="32"/>
          <w:lang w:eastAsia="zh-CN"/>
        </w:rPr>
        <w:t>名次位于全县前八分之一的加</w:t>
      </w:r>
      <w:r>
        <w:rPr>
          <w:rFonts w:hint="eastAsia" w:ascii="仿宋_GB2312" w:eastAsia="仿宋_GB2312"/>
          <w:b/>
          <w:bCs/>
          <w:color w:val="000000" w:themeColor="text1"/>
          <w:sz w:val="32"/>
          <w:szCs w:val="32"/>
          <w:lang w:val="en-US" w:eastAsia="zh-CN"/>
        </w:rPr>
        <w:t>90分，名次位于全县十分之一的加100分</w:t>
      </w:r>
      <w:r>
        <w:rPr>
          <w:rFonts w:hint="eastAsia" w:ascii="仿宋_GB2312" w:eastAsia="仿宋_GB2312"/>
          <w:b/>
          <w:bCs/>
          <w:color w:val="000000" w:themeColor="text1"/>
          <w:sz w:val="32"/>
          <w:szCs w:val="32"/>
        </w:rPr>
        <w:t>。</w:t>
      </w:r>
      <w:r>
        <w:rPr>
          <w:rFonts w:hint="eastAsia" w:ascii="仿宋_GB2312" w:eastAsia="仿宋_GB2312"/>
          <w:b/>
          <w:bCs/>
          <w:color w:val="000000" w:themeColor="text1"/>
          <w:sz w:val="32"/>
          <w:szCs w:val="32"/>
          <w:lang w:eastAsia="zh-CN"/>
        </w:rPr>
        <w:t>品德、科学等学科减半计算。</w:t>
      </w:r>
      <w:r>
        <w:rPr>
          <w:rFonts w:hint="eastAsia" w:ascii="仿宋_GB2312" w:eastAsia="仿宋_GB2312"/>
          <w:b/>
          <w:bCs/>
          <w:color w:val="000000" w:themeColor="text1"/>
          <w:sz w:val="32"/>
          <w:szCs w:val="32"/>
          <w:lang w:val="en-US" w:eastAsia="zh-CN"/>
        </w:rPr>
        <w:t>4</w:t>
      </w:r>
      <w:r>
        <w:rPr>
          <w:rFonts w:hint="eastAsia" w:ascii="仿宋_GB2312" w:eastAsia="仿宋_GB2312"/>
          <w:color w:val="000000" w:themeColor="text1"/>
          <w:sz w:val="32"/>
          <w:szCs w:val="32"/>
        </w:rPr>
        <w:t>.媒体报道加分，教师开展的活动被主流新闻媒体正面报道或撰写的正面宣传学校的稿件被采用，国家、省、市、县级每次分别加20、15、10、5分，县教体局报道计2分。</w:t>
      </w:r>
      <w:r>
        <w:rPr>
          <w:rFonts w:hint="eastAsia" w:ascii="仿宋_GB2312" w:eastAsia="仿宋_GB2312"/>
          <w:b/>
          <w:bCs/>
          <w:color w:val="000000" w:themeColor="text1"/>
          <w:sz w:val="32"/>
          <w:szCs w:val="32"/>
          <w:lang w:val="en-US" w:eastAsia="zh-CN"/>
        </w:rPr>
        <w:t>5</w:t>
      </w:r>
      <w:r>
        <w:rPr>
          <w:rFonts w:hint="eastAsia" w:ascii="仿宋_GB2312" w:eastAsia="仿宋_GB2312"/>
          <w:b/>
          <w:bCs/>
          <w:color w:val="000000" w:themeColor="text1"/>
          <w:sz w:val="32"/>
          <w:szCs w:val="32"/>
        </w:rPr>
        <w:t>、特别贡献奖：对于学校重大工作和重要任务（支教等）作出突出贡献的，酌情给予50-200的加分。</w:t>
      </w:r>
    </w:p>
    <w:p>
      <w:pPr>
        <w:keepNext w:val="0"/>
        <w:keepLines w:val="0"/>
        <w:pageBreakBefore w:val="0"/>
        <w:widowControl w:val="0"/>
        <w:kinsoku/>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color w:val="000000" w:themeColor="text1"/>
          <w:sz w:val="32"/>
          <w:szCs w:val="32"/>
        </w:rPr>
      </w:pPr>
      <w:r>
        <w:rPr>
          <w:rFonts w:hint="eastAsia" w:ascii="黑体" w:hAnsi="黑体" w:eastAsia="黑体"/>
          <w:sz w:val="32"/>
          <w:szCs w:val="32"/>
        </w:rPr>
        <w:t>六、其他事项说明及结果运用。</w:t>
      </w:r>
      <w:r>
        <w:rPr>
          <w:rFonts w:hint="eastAsia" w:ascii="仿宋_GB2312" w:eastAsia="仿宋_GB2312"/>
          <w:color w:val="000000" w:themeColor="text1"/>
          <w:sz w:val="32"/>
          <w:szCs w:val="32"/>
        </w:rPr>
        <w:t>1.每学期按德能勤绩几个方面积分，一年按两个学期的总积分排名公示。2.每学期内请假的教师，其业务检查成绩和考试成绩按请假的时间占一个学期的几分之几来计算。3.以上每款内容，凡是没有劳动付出，或不涉及的内容，一律不积分以教师现有工作材料为准，不照顾任何人。4.在编老师综合考评结果作为学校评优树先、职称评聘、年度考核、绩效工资实施等工作的主要依据（因产假或工作调动不满一学年，年度考核不定为优秀档次，不参与优秀班主任、优秀教师、优秀工作者等荣誉称号的评选）。在编教师连续两个学期倒数第一（平均分与第一名差距超过10分及以上）或目标责任书未达标的所有事情一票否决。临时老师连续两个学期教学成绩倒数第一（平均分与第一名差距超过10分及以上）或目标责任书未达标的解除聘任合同。5.教学能手、兰陵名师等教学成绩至少保持在中等以上，否则学校不予年度考核，不承认相关荣誉称号。6.本方案为学校管理总领性方案，其他制度若与其冲突，均以此方案为准。本方案解释权归</w:t>
      </w:r>
      <w:r>
        <w:rPr>
          <w:rFonts w:hint="eastAsia" w:ascii="仿宋_GB2312" w:eastAsia="仿宋_GB2312"/>
          <w:color w:val="000000" w:themeColor="text1"/>
          <w:sz w:val="32"/>
          <w:szCs w:val="32"/>
          <w:lang w:eastAsia="zh-CN"/>
        </w:rPr>
        <w:t>兰陵县第十四小学教职工综合量化</w:t>
      </w:r>
      <w:bookmarkStart w:id="0" w:name="_GoBack"/>
      <w:bookmarkEnd w:id="0"/>
      <w:r>
        <w:rPr>
          <w:rFonts w:hint="eastAsia" w:ascii="仿宋_GB2312" w:eastAsia="仿宋_GB2312"/>
          <w:color w:val="000000" w:themeColor="text1"/>
          <w:sz w:val="32"/>
          <w:szCs w:val="32"/>
        </w:rPr>
        <w:t>考核领导小组。</w:t>
      </w:r>
    </w:p>
    <w:p>
      <w:pPr>
        <w:keepNext w:val="0"/>
        <w:keepLines w:val="0"/>
        <w:pageBreakBefore w:val="0"/>
        <w:widowControl w:val="0"/>
        <w:kinsoku/>
        <w:overflowPunct/>
        <w:topLinePunct w:val="0"/>
        <w:autoSpaceDE/>
        <w:autoSpaceDN w:val="0"/>
        <w:bidi w:val="0"/>
        <w:adjustRightInd/>
        <w:snapToGrid/>
        <w:spacing w:before="0" w:beforeAutospacing="0" w:after="0" w:afterAutospacing="0" w:line="560" w:lineRule="exact"/>
        <w:ind w:left="0" w:firstLine="640" w:firstLineChars="200"/>
        <w:textAlignment w:val="bottom"/>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overflowPunct/>
        <w:topLinePunct w:val="0"/>
        <w:autoSpaceDE/>
        <w:bidi w:val="0"/>
        <w:adjustRightInd/>
        <w:snapToGrid/>
        <w:spacing w:before="0" w:beforeAutospacing="0" w:after="0" w:afterAutospacing="0" w:line="560" w:lineRule="exact"/>
        <w:ind w:left="0" w:firstLine="480" w:firstLineChars="200"/>
        <w:textAlignment w:val="bottom"/>
        <w:outlineLvl w:val="9"/>
        <w:rPr>
          <w:rFonts w:hint="eastAsia"/>
        </w:rPr>
      </w:pPr>
    </w:p>
    <w:sectPr>
      <w:footerReference r:id="rId5" w:type="default"/>
      <w:pgSz w:w="11906" w:h="16838"/>
      <w:pgMar w:top="1701" w:right="1701" w:bottom="1701" w:left="1701" w:header="851" w:footer="992" w:gutter="0"/>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4OTFjZDM1NDlmYTdiZTZkNTA2NGQ5NjVjYjE2MmUifQ=="/>
  </w:docVars>
  <w:rsids>
    <w:rsidRoot w:val="004D2684"/>
    <w:rsid w:val="004D2684"/>
    <w:rsid w:val="006052CB"/>
    <w:rsid w:val="00EB30E4"/>
    <w:rsid w:val="011102EE"/>
    <w:rsid w:val="015B6D94"/>
    <w:rsid w:val="019B4721"/>
    <w:rsid w:val="02367A39"/>
    <w:rsid w:val="02F471EB"/>
    <w:rsid w:val="034C72DC"/>
    <w:rsid w:val="03F5779D"/>
    <w:rsid w:val="04884F19"/>
    <w:rsid w:val="0781507A"/>
    <w:rsid w:val="09E55B85"/>
    <w:rsid w:val="0B7E7997"/>
    <w:rsid w:val="0C685366"/>
    <w:rsid w:val="0D331FB9"/>
    <w:rsid w:val="0D545F6B"/>
    <w:rsid w:val="0E19425F"/>
    <w:rsid w:val="108901E2"/>
    <w:rsid w:val="10A9313E"/>
    <w:rsid w:val="125515DD"/>
    <w:rsid w:val="133438E9"/>
    <w:rsid w:val="159967FE"/>
    <w:rsid w:val="17091860"/>
    <w:rsid w:val="173C36FB"/>
    <w:rsid w:val="176E5532"/>
    <w:rsid w:val="179B1134"/>
    <w:rsid w:val="18126173"/>
    <w:rsid w:val="18D42F63"/>
    <w:rsid w:val="18D54006"/>
    <w:rsid w:val="1A5F56EF"/>
    <w:rsid w:val="1BEC5621"/>
    <w:rsid w:val="1D464944"/>
    <w:rsid w:val="1DB16262"/>
    <w:rsid w:val="1E6037E4"/>
    <w:rsid w:val="1F086396"/>
    <w:rsid w:val="1F8862A7"/>
    <w:rsid w:val="22947F00"/>
    <w:rsid w:val="231D6147"/>
    <w:rsid w:val="24211707"/>
    <w:rsid w:val="258312BC"/>
    <w:rsid w:val="265E4AAD"/>
    <w:rsid w:val="276C31F9"/>
    <w:rsid w:val="28722A91"/>
    <w:rsid w:val="28F5571B"/>
    <w:rsid w:val="29D27180"/>
    <w:rsid w:val="2A092F82"/>
    <w:rsid w:val="2A693A20"/>
    <w:rsid w:val="2AE232DA"/>
    <w:rsid w:val="2B710DDE"/>
    <w:rsid w:val="2B756F6F"/>
    <w:rsid w:val="2C666469"/>
    <w:rsid w:val="2C8B4122"/>
    <w:rsid w:val="2D621327"/>
    <w:rsid w:val="2D6D7CCB"/>
    <w:rsid w:val="2DB62A32"/>
    <w:rsid w:val="2DCE1D05"/>
    <w:rsid w:val="2DF132C2"/>
    <w:rsid w:val="2E3B3926"/>
    <w:rsid w:val="2E7C6A4A"/>
    <w:rsid w:val="2E843239"/>
    <w:rsid w:val="31933518"/>
    <w:rsid w:val="319F164E"/>
    <w:rsid w:val="32365A46"/>
    <w:rsid w:val="32EB591A"/>
    <w:rsid w:val="33691633"/>
    <w:rsid w:val="3440430D"/>
    <w:rsid w:val="34733E19"/>
    <w:rsid w:val="36835E6A"/>
    <w:rsid w:val="37177898"/>
    <w:rsid w:val="376143FD"/>
    <w:rsid w:val="37A205C0"/>
    <w:rsid w:val="38325D99"/>
    <w:rsid w:val="3A476C98"/>
    <w:rsid w:val="3A5E2E76"/>
    <w:rsid w:val="3CE84C78"/>
    <w:rsid w:val="3D3E0AAB"/>
    <w:rsid w:val="3E1C107E"/>
    <w:rsid w:val="3ED12121"/>
    <w:rsid w:val="3EF26A37"/>
    <w:rsid w:val="422B1936"/>
    <w:rsid w:val="431467C7"/>
    <w:rsid w:val="438352BE"/>
    <w:rsid w:val="47280A93"/>
    <w:rsid w:val="479035DE"/>
    <w:rsid w:val="49830DFE"/>
    <w:rsid w:val="4A4A0B20"/>
    <w:rsid w:val="4B420BFA"/>
    <w:rsid w:val="4F5F344E"/>
    <w:rsid w:val="54022113"/>
    <w:rsid w:val="54150D88"/>
    <w:rsid w:val="551663CF"/>
    <w:rsid w:val="55894DF3"/>
    <w:rsid w:val="5670214A"/>
    <w:rsid w:val="57F86260"/>
    <w:rsid w:val="59606F40"/>
    <w:rsid w:val="59982EAC"/>
    <w:rsid w:val="59C41243"/>
    <w:rsid w:val="5A8E4C59"/>
    <w:rsid w:val="5BD00353"/>
    <w:rsid w:val="5C6976E0"/>
    <w:rsid w:val="5C8201F9"/>
    <w:rsid w:val="5CDC7EFE"/>
    <w:rsid w:val="5CF9363E"/>
    <w:rsid w:val="5F1F6730"/>
    <w:rsid w:val="5FE86BBA"/>
    <w:rsid w:val="60740B4D"/>
    <w:rsid w:val="611A06E5"/>
    <w:rsid w:val="61AC0314"/>
    <w:rsid w:val="628E2D33"/>
    <w:rsid w:val="633E1EFF"/>
    <w:rsid w:val="64B45ED8"/>
    <w:rsid w:val="66815672"/>
    <w:rsid w:val="66FB49FB"/>
    <w:rsid w:val="69631B29"/>
    <w:rsid w:val="69754B2F"/>
    <w:rsid w:val="69B8584F"/>
    <w:rsid w:val="69D16911"/>
    <w:rsid w:val="69D566D1"/>
    <w:rsid w:val="6B264A3A"/>
    <w:rsid w:val="6BC50DED"/>
    <w:rsid w:val="6C401DC5"/>
    <w:rsid w:val="6C5775A1"/>
    <w:rsid w:val="6C891725"/>
    <w:rsid w:val="6D9A535B"/>
    <w:rsid w:val="6F0E50B8"/>
    <w:rsid w:val="6FC211D5"/>
    <w:rsid w:val="6FE67163"/>
    <w:rsid w:val="70692886"/>
    <w:rsid w:val="70BB05FA"/>
    <w:rsid w:val="718C2151"/>
    <w:rsid w:val="721D169B"/>
    <w:rsid w:val="72FD0776"/>
    <w:rsid w:val="733C129F"/>
    <w:rsid w:val="74820F84"/>
    <w:rsid w:val="74F31E31"/>
    <w:rsid w:val="75E33C54"/>
    <w:rsid w:val="76952230"/>
    <w:rsid w:val="78570BA3"/>
    <w:rsid w:val="796B5F25"/>
    <w:rsid w:val="79B24069"/>
    <w:rsid w:val="7A0C2451"/>
    <w:rsid w:val="7A1009A1"/>
    <w:rsid w:val="7AF97F2D"/>
    <w:rsid w:val="7D714ACA"/>
    <w:rsid w:val="7E4E12C8"/>
    <w:rsid w:val="7EF15D42"/>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5" w:lineRule="atLeast"/>
      <w:ind w:left="1"/>
      <w:jc w:val="both"/>
      <w:textAlignment w:val="bottom"/>
    </w:pPr>
    <w:rPr>
      <w:rFonts w:ascii="Times New Roman" w:hAnsi="Times New Roman" w:eastAsia="宋体" w:cs="Times New Roman"/>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7125</Words>
  <Characters>7453</Characters>
  <Lines>53</Lines>
  <Paragraphs>14</Paragraphs>
  <TotalTime>1</TotalTime>
  <ScaleCrop>false</ScaleCrop>
  <LinksUpToDate>false</LinksUpToDate>
  <CharactersWithSpaces>7457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2021-11-11T08:48:00Z</dcterms:created>
  <dc:creator>lenovo</dc:creator>
  <cp:lastModifiedBy>似曾相识</cp:lastModifiedBy>
  <cp:lastPrinted>2022-08-30T09:45:00Z</cp:lastPrinted>
  <dcterms:modified xsi:type="dcterms:W3CDTF">2022-09-11T02:13:13Z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938FE6C385014085BC65D4768C650E3F</vt:lpwstr>
  </property>
</Properties>
</file>