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01" w:rsidRDefault="00833701" w:rsidP="00833701">
      <w:pPr>
        <w:snapToGrid w:val="0"/>
        <w:spacing w:line="500" w:lineRule="exact"/>
        <w:ind w:firstLineChars="900" w:firstLine="3240"/>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833701" w:rsidRDefault="00833701" w:rsidP="00833701">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833701" w:rsidRDefault="00833701" w:rsidP="00833701">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48</w:t>
      </w:r>
      <w:r>
        <w:rPr>
          <w:rFonts w:ascii="Times New Roman" w:eastAsia="仿宋_GB2312" w:hAnsi="Times New Roman" w:hint="eastAsia"/>
          <w:sz w:val="24"/>
          <w:szCs w:val="24"/>
        </w:rPr>
        <w:t>号</w:t>
      </w:r>
    </w:p>
    <w:p w:rsidR="00833701" w:rsidRDefault="00833701" w:rsidP="00833701">
      <w:pPr>
        <w:adjustRightInd w:val="0"/>
        <w:snapToGrid w:val="0"/>
        <w:spacing w:line="440" w:lineRule="exact"/>
        <w:rPr>
          <w:rFonts w:ascii="仿宋" w:eastAsia="仿宋" w:hAnsi="仿宋"/>
          <w:sz w:val="32"/>
          <w:szCs w:val="32"/>
        </w:rPr>
      </w:pPr>
      <w:r>
        <w:rPr>
          <w:rFonts w:ascii="仿宋" w:eastAsia="仿宋" w:hAnsi="仿宋" w:hint="eastAsia"/>
          <w:sz w:val="32"/>
          <w:szCs w:val="32"/>
        </w:rPr>
        <w:t>兰陵县福海加油站：</w:t>
      </w:r>
    </w:p>
    <w:p w:rsidR="00833701" w:rsidRDefault="00833701" w:rsidP="00833701">
      <w:pPr>
        <w:adjustRightInd w:val="0"/>
        <w:snapToGrid w:val="0"/>
        <w:spacing w:line="440" w:lineRule="exact"/>
        <w:rPr>
          <w:rFonts w:ascii="仿宋" w:eastAsia="仿宋" w:hAnsi="仿宋" w:hint="eastAsia"/>
          <w:sz w:val="32"/>
          <w:szCs w:val="32"/>
        </w:rPr>
      </w:pPr>
      <w:r>
        <w:rPr>
          <w:rFonts w:ascii="仿宋" w:eastAsia="仿宋" w:hAnsi="仿宋" w:hint="eastAsia"/>
          <w:sz w:val="32"/>
          <w:szCs w:val="32"/>
        </w:rPr>
        <w:t xml:space="preserve">统一社会信用代码：  91371324MA3CYUKU3A             </w:t>
      </w:r>
    </w:p>
    <w:p w:rsidR="00833701" w:rsidRDefault="00833701" w:rsidP="00833701">
      <w:pPr>
        <w:adjustRightInd w:val="0"/>
        <w:snapToGrid w:val="0"/>
        <w:spacing w:line="440" w:lineRule="exact"/>
        <w:rPr>
          <w:rFonts w:ascii="仿宋" w:eastAsia="仿宋" w:hAnsi="仿宋" w:hint="eastAsia"/>
          <w:sz w:val="32"/>
          <w:szCs w:val="32"/>
        </w:rPr>
      </w:pPr>
      <w:r>
        <w:rPr>
          <w:rFonts w:ascii="仿宋" w:eastAsia="仿宋" w:hAnsi="仿宋" w:hint="eastAsia"/>
          <w:sz w:val="32"/>
          <w:szCs w:val="32"/>
        </w:rPr>
        <w:t xml:space="preserve">投资人：李福海  地址：兰陵县兰陵镇政府南500米蒙台公路路东   </w:t>
      </w:r>
    </w:p>
    <w:p w:rsidR="00833701" w:rsidRDefault="00833701" w:rsidP="00833701">
      <w:pPr>
        <w:adjustRightInd w:val="0"/>
        <w:snapToGrid w:val="0"/>
        <w:spacing w:line="44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 8月16日对你（单位）进行了调查，发现你（单位)实施了以下环境违法行为：</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2022年7月26日，临沂市生态环境局兰陵县分局委托山东精诚检测技术有限公司对兰陵县福海加油站密闭性、液阻、气液比、油气排放浓度等项目进行了现场检测。山东精诚检测技术有限公司出具的《检测报告》（编号： SDJC2022012469）显示：该加油站1#、2#、3#、4#加油枪气液比检测结果不达标。不符合《加油站大气污染物排放标准》的要求。 ， 加油站未按照国家有关规定正常使用油气回收装置。。</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1、2022年8月16日，由当事人提供的授权委托书1份,证明王浩受当事人的委托配合调查并签署文件；</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2、2022年8月16日，由当事人的委托人王浩提供的营业执照复印件1份，可以证明违法主体；</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3、2022年8月16日，当事人的委托人王浩提供的现场负责人身份证复印件1份,投资人身份证复印件1份,可以证明其个人身份信息；</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4、当事人的委托人王浩签字确认的我局执法人员于2022年8月16日，在现场检查时做的《现场检查（勘验）笔录》1份，可以证明当事人存在的违法事实；</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5、当事人的委托人王浩签字确认的我局执法人员于2022年8月16日，在现场检查时做的《调查询问笔录》1份，可以证明当事人存在的违法事实；</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6、2022年8月16日，由当事人的委托人王浩签字确认的送达回证1份，证明收到了当事人存在的违法事实《检测报告》（编号：SDJC2022012469）；</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7、我局执法人员于2022年7月26日，在当事人检查时现场拍摄照片1份，可以证明当事人存在的违法事实；</w:t>
      </w:r>
    </w:p>
    <w:p w:rsidR="00833701" w:rsidRDefault="00833701" w:rsidP="00833701">
      <w:pPr>
        <w:adjustRightInd w:val="0"/>
        <w:snapToGrid w:val="0"/>
        <w:spacing w:line="440" w:lineRule="exact"/>
        <w:ind w:firstLineChars="200" w:firstLine="640"/>
        <w:rPr>
          <w:rFonts w:ascii="仿宋" w:eastAsia="仿宋" w:hAnsi="仿宋" w:hint="eastAsia"/>
          <w:color w:val="FF0000"/>
          <w:sz w:val="32"/>
          <w:szCs w:val="32"/>
        </w:rPr>
      </w:pPr>
      <w:r>
        <w:rPr>
          <w:rFonts w:ascii="仿宋" w:eastAsia="仿宋" w:hAnsi="仿宋" w:hint="eastAsia"/>
          <w:sz w:val="32"/>
          <w:szCs w:val="32"/>
        </w:rPr>
        <w:t>8、两年有内有无违法行为证明1份可以证明两年内违法次数。</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本机关认为你（单位）上述行为，违反了《中华人民共和国大气污染防治法》第四十七条第二款的规定。</w:t>
      </w:r>
    </w:p>
    <w:p w:rsidR="00833701" w:rsidRDefault="00833701" w:rsidP="00833701">
      <w:pPr>
        <w:adjustRightInd w:val="0"/>
        <w:snapToGrid w:val="0"/>
        <w:spacing w:line="44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我局于2022年10月26日以《临沂市生态环境局行政处罚事先告知书》（临环（兰陵）罚告字〔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48</w:t>
      </w:r>
      <w:r>
        <w:rPr>
          <w:rFonts w:ascii="仿宋" w:eastAsia="仿宋" w:hAnsi="仿宋" w:hint="eastAsia"/>
          <w:sz w:val="32"/>
          <w:szCs w:val="32"/>
        </w:rPr>
        <w:t>号）告知你（单位）享有陈述申辩及听证申请权，在法定期限内，你（单位）未进行陈述申辩，也未申请举行听证。</w:t>
      </w:r>
    </w:p>
    <w:p w:rsidR="00833701" w:rsidRDefault="00833701" w:rsidP="00833701">
      <w:pPr>
        <w:adjustRightInd w:val="0"/>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833701" w:rsidRDefault="00833701" w:rsidP="00833701">
      <w:pPr>
        <w:adjustRightInd w:val="0"/>
        <w:snapToGrid w:val="0"/>
        <w:spacing w:line="44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833701" w:rsidRDefault="00833701" w:rsidP="00833701">
      <w:pPr>
        <w:adjustRightInd w:val="0"/>
        <w:snapToGrid w:val="0"/>
        <w:spacing w:line="4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833701" w:rsidRDefault="00833701" w:rsidP="00833701">
      <w:pPr>
        <w:adjustRightInd w:val="0"/>
        <w:snapToGrid w:val="0"/>
        <w:spacing w:line="44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833701" w:rsidRDefault="00833701" w:rsidP="00833701">
      <w:pPr>
        <w:adjustRightInd w:val="0"/>
        <w:snapToGrid w:val="0"/>
        <w:spacing w:line="44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486E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12D" w:rsidRDefault="008B212D" w:rsidP="00833701">
      <w:r>
        <w:separator/>
      </w:r>
    </w:p>
  </w:endnote>
  <w:endnote w:type="continuationSeparator" w:id="0">
    <w:p w:rsidR="008B212D" w:rsidRDefault="008B212D" w:rsidP="00833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12D" w:rsidRDefault="008B212D" w:rsidP="00833701">
      <w:r>
        <w:separator/>
      </w:r>
    </w:p>
  </w:footnote>
  <w:footnote w:type="continuationSeparator" w:id="0">
    <w:p w:rsidR="008B212D" w:rsidRDefault="008B212D" w:rsidP="00833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701"/>
    <w:rsid w:val="000C4C16"/>
    <w:rsid w:val="000E3B17"/>
    <w:rsid w:val="0010478D"/>
    <w:rsid w:val="00293AF7"/>
    <w:rsid w:val="003C2EF2"/>
    <w:rsid w:val="00486EE8"/>
    <w:rsid w:val="0056176A"/>
    <w:rsid w:val="006353E0"/>
    <w:rsid w:val="00677A55"/>
    <w:rsid w:val="00762659"/>
    <w:rsid w:val="00824F6C"/>
    <w:rsid w:val="00833701"/>
    <w:rsid w:val="00865A79"/>
    <w:rsid w:val="008B212D"/>
    <w:rsid w:val="00901C22"/>
    <w:rsid w:val="00916218"/>
    <w:rsid w:val="00916D4D"/>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701"/>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3701"/>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833701"/>
    <w:rPr>
      <w:kern w:val="2"/>
      <w:sz w:val="18"/>
      <w:szCs w:val="18"/>
    </w:rPr>
  </w:style>
  <w:style w:type="paragraph" w:styleId="a4">
    <w:name w:val="footer"/>
    <w:basedOn w:val="a"/>
    <w:link w:val="Char0"/>
    <w:rsid w:val="00833701"/>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833701"/>
    <w:rPr>
      <w:kern w:val="2"/>
      <w:sz w:val="18"/>
      <w:szCs w:val="18"/>
    </w:rPr>
  </w:style>
</w:styles>
</file>

<file path=word/webSettings.xml><?xml version="1.0" encoding="utf-8"?>
<w:webSettings xmlns:r="http://schemas.openxmlformats.org/officeDocument/2006/relationships" xmlns:w="http://schemas.openxmlformats.org/wordprocessingml/2006/main">
  <w:divs>
    <w:div w:id="1067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Company>CHINA</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2022-11-14T06:35:00Z</dcterms:created>
  <dcterms:modified xsi:type="dcterms:W3CDTF">2022-11-14T06:36:00Z</dcterms:modified>
</cp:coreProperties>
</file>