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560" w:type="dxa"/>
        <w:tblInd w:w="96" w:type="dxa"/>
        <w:tblLayout w:type="autofit"/>
        <w:tblCellMar>
          <w:top w:w="0" w:type="dxa"/>
          <w:left w:w="108" w:type="dxa"/>
          <w:bottom w:w="0" w:type="dxa"/>
          <w:right w:w="108" w:type="dxa"/>
        </w:tblCellMar>
      </w:tblPr>
      <w:tblGrid>
        <w:gridCol w:w="1080"/>
        <w:gridCol w:w="13480"/>
      </w:tblGrid>
      <w:tr>
        <w:trPr>
          <w:trHeight w:val="405" w:hRule="atLeast"/>
        </w:trPr>
        <w:tc>
          <w:tcPr>
            <w:tcW w:w="14560" w:type="dxa"/>
            <w:gridSpan w:val="2"/>
            <w:tcBorders>
              <w:top w:val="single" w:color="auto" w:sz="4" w:space="0"/>
              <w:left w:val="nil"/>
              <w:bottom w:val="nil"/>
              <w:right w:val="nil"/>
            </w:tcBorders>
            <w:shd w:val="clear" w:color="auto" w:fill="auto"/>
            <w:noWrap w:val="0"/>
            <w:vAlign w:val="center"/>
          </w:tcPr>
          <w:p>
            <w:pPr>
              <w:widowControl/>
              <w:jc w:val="left"/>
              <w:rPr>
                <w:rFonts w:eastAsia="黑体"/>
                <w:kern w:val="0"/>
                <w:sz w:val="32"/>
                <w:szCs w:val="32"/>
              </w:rPr>
            </w:pPr>
            <w:r>
              <w:rPr>
                <w:rFonts w:eastAsia="黑体"/>
                <w:kern w:val="0"/>
                <w:sz w:val="32"/>
                <w:szCs w:val="32"/>
              </w:rPr>
              <w:t>附件2</w:t>
            </w:r>
          </w:p>
        </w:tc>
      </w:tr>
      <w:tr>
        <w:tblPrEx>
          <w:tblCellMar>
            <w:top w:w="0" w:type="dxa"/>
            <w:left w:w="108" w:type="dxa"/>
            <w:bottom w:w="0" w:type="dxa"/>
            <w:right w:w="108" w:type="dxa"/>
          </w:tblCellMar>
        </w:tblPrEx>
        <w:trPr>
          <w:trHeight w:val="840" w:hRule="atLeast"/>
        </w:trPr>
        <w:tc>
          <w:tcPr>
            <w:tcW w:w="14560" w:type="dxa"/>
            <w:gridSpan w:val="2"/>
            <w:tcBorders>
              <w:top w:val="nil"/>
              <w:left w:val="nil"/>
              <w:bottom w:val="nil"/>
              <w:right w:val="nil"/>
            </w:tcBorders>
            <w:shd w:val="clear" w:color="auto" w:fill="FFFFFF"/>
            <w:noWrap w:val="0"/>
            <w:vAlign w:val="center"/>
          </w:tcPr>
          <w:p>
            <w:pPr>
              <w:widowControl/>
              <w:jc w:val="center"/>
              <w:rPr>
                <w:rFonts w:eastAsia="方正小标宋简体"/>
                <w:kern w:val="0"/>
                <w:sz w:val="44"/>
                <w:szCs w:val="44"/>
              </w:rPr>
            </w:pPr>
            <w:bookmarkStart w:id="0" w:name="_GoBack"/>
            <w:r>
              <w:rPr>
                <w:rFonts w:eastAsia="方正小标宋简体"/>
                <w:kern w:val="0"/>
                <w:sz w:val="44"/>
                <w:szCs w:val="44"/>
              </w:rPr>
              <w:t>划转到县农业综合执法</w:t>
            </w:r>
            <w:r>
              <w:rPr>
                <w:rFonts w:hint="eastAsia" w:eastAsia="方正小标宋简体"/>
                <w:kern w:val="0"/>
                <w:sz w:val="44"/>
                <w:szCs w:val="44"/>
              </w:rPr>
              <w:t>机构</w:t>
            </w:r>
            <w:r>
              <w:rPr>
                <w:rFonts w:eastAsia="方正小标宋简体"/>
                <w:kern w:val="0"/>
                <w:sz w:val="44"/>
                <w:szCs w:val="44"/>
              </w:rPr>
              <w:t>行使的行政处罚权和行政强制权清单</w:t>
            </w:r>
            <w:bookmarkEnd w:id="0"/>
          </w:p>
        </w:tc>
      </w:tr>
      <w:tr>
        <w:trPr>
          <w:trHeight w:val="600" w:hRule="atLeast"/>
        </w:trPr>
        <w:tc>
          <w:tcPr>
            <w:tcW w:w="145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eastAsia="黑体"/>
                <w:kern w:val="0"/>
                <w:sz w:val="32"/>
                <w:szCs w:val="32"/>
              </w:rPr>
            </w:pPr>
            <w:r>
              <w:rPr>
                <w:rFonts w:eastAsia="黑体"/>
                <w:kern w:val="0"/>
                <w:sz w:val="32"/>
                <w:szCs w:val="32"/>
              </w:rPr>
              <w:t>县农机局划转到县农业综合执法大队行使的行政处罚权</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eastAsia="黑体"/>
                <w:kern w:val="0"/>
                <w:sz w:val="24"/>
              </w:rPr>
            </w:pPr>
            <w:r>
              <w:rPr>
                <w:rFonts w:eastAsia="黑体"/>
                <w:kern w:val="0"/>
                <w:sz w:val="24"/>
              </w:rPr>
              <w:t>序号</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center"/>
              <w:rPr>
                <w:rFonts w:eastAsia="黑体"/>
                <w:kern w:val="0"/>
                <w:sz w:val="24"/>
              </w:rPr>
            </w:pPr>
            <w:r>
              <w:rPr>
                <w:rFonts w:eastAsia="黑体"/>
                <w:kern w:val="0"/>
                <w:sz w:val="24"/>
              </w:rPr>
              <w:t>项目名称</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对违法使用农业机械行为的处罚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对农业机械维修点未取得《农业机械维修技术合格证》从事农业机械维修的处罚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对超越核定的维修等级或者修理范围承揽维修项目的处罚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对使用不符合国家技术规范强制性要求的维修配件维修农业机械的和承揽已报废农业机械维修业务的行政处罚</w:t>
            </w:r>
          </w:p>
        </w:tc>
      </w:tr>
      <w:tr>
        <w:trPr>
          <w:trHeight w:val="64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5</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对农业机械维修者未在经营场所的醒目位置悬挂统一的《农业机械维修技术合格证》和农业机械维修者未按规定填写维修记录和报送年度维修情况统计表的处罚</w:t>
            </w:r>
          </w:p>
        </w:tc>
      </w:tr>
      <w:tr>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6</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对未取得培训许可擅自从事拖拉机驾驶培训业务的处罚、对未按统一教学计划、大纲和规定教材进行培训的处、</w:t>
            </w:r>
            <w:r>
              <w:rPr>
                <w:kern w:val="0"/>
                <w:sz w:val="22"/>
                <w:szCs w:val="22"/>
              </w:rPr>
              <w:br w:type="textWrapping"/>
            </w:r>
            <w:r>
              <w:rPr>
                <w:kern w:val="0"/>
                <w:sz w:val="22"/>
                <w:szCs w:val="22"/>
              </w:rPr>
              <w:t>对聘用未经省级人民政府农机主管部门考核合格的人员从事拖拉机驾驶员培训教学工作的处罚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7</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持假冒跨区作业证或扰乱跨区作业秩序的处罚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8</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跨区作业中介组织违规处罚</w:t>
            </w:r>
          </w:p>
        </w:tc>
      </w:tr>
      <w:tr>
        <w:trPr>
          <w:trHeight w:val="462" w:hRule="atLeast"/>
        </w:trPr>
        <w:tc>
          <w:tcPr>
            <w:tcW w:w="145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eastAsia="黑体"/>
                <w:kern w:val="0"/>
                <w:sz w:val="32"/>
                <w:szCs w:val="32"/>
              </w:rPr>
            </w:pPr>
            <w:r>
              <w:rPr>
                <w:rFonts w:eastAsia="黑体"/>
                <w:kern w:val="0"/>
                <w:sz w:val="32"/>
                <w:szCs w:val="32"/>
              </w:rPr>
              <w:t>县农机局划转到县农业综合执法大队行使的行政强制权</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eastAsia="黑体"/>
                <w:kern w:val="0"/>
                <w:sz w:val="24"/>
              </w:rPr>
            </w:pPr>
            <w:r>
              <w:rPr>
                <w:rFonts w:eastAsia="黑体"/>
                <w:kern w:val="0"/>
                <w:sz w:val="24"/>
              </w:rPr>
              <w:t>序号</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center"/>
              <w:rPr>
                <w:rFonts w:eastAsia="黑体"/>
                <w:kern w:val="0"/>
                <w:sz w:val="24"/>
              </w:rPr>
            </w:pPr>
            <w:r>
              <w:rPr>
                <w:rFonts w:eastAsia="黑体"/>
                <w:kern w:val="0"/>
                <w:sz w:val="24"/>
              </w:rPr>
              <w:t>项目名称</w:t>
            </w:r>
          </w:p>
        </w:tc>
      </w:tr>
      <w:tr>
        <w:tblPrEx>
          <w:tblCellMar>
            <w:top w:w="0" w:type="dxa"/>
            <w:left w:w="108" w:type="dxa"/>
            <w:bottom w:w="0" w:type="dxa"/>
            <w:right w:w="108" w:type="dxa"/>
          </w:tblCellMar>
        </w:tblPrEx>
        <w:trPr>
          <w:trHeight w:val="46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w:t>
            </w:r>
          </w:p>
        </w:tc>
        <w:tc>
          <w:tcPr>
            <w:tcW w:w="1348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扣押有关农业机械及证书、牌照、操作证件</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收缴伪造、变造或者使用的证书和牌照</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吊销拖拉机、联合收割机有关人员的操作证件</w:t>
            </w:r>
          </w:p>
        </w:tc>
      </w:tr>
      <w:tr>
        <w:tblPrEx>
          <w:tblCellMar>
            <w:top w:w="0" w:type="dxa"/>
            <w:left w:w="108" w:type="dxa"/>
            <w:bottom w:w="0" w:type="dxa"/>
            <w:right w:w="108" w:type="dxa"/>
          </w:tblCellMar>
        </w:tblPrEx>
        <w:trPr>
          <w:trHeight w:val="462" w:hRule="atLeast"/>
        </w:trPr>
        <w:tc>
          <w:tcPr>
            <w:tcW w:w="145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eastAsia="黑体"/>
                <w:kern w:val="0"/>
                <w:sz w:val="32"/>
                <w:szCs w:val="32"/>
              </w:rPr>
            </w:pPr>
            <w:r>
              <w:rPr>
                <w:rFonts w:eastAsia="黑体"/>
                <w:kern w:val="0"/>
                <w:sz w:val="32"/>
                <w:szCs w:val="32"/>
              </w:rPr>
              <w:t>县畜牧局划转到县农业综合执法大队行使的行政处罚权</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eastAsia="黑体"/>
                <w:kern w:val="0"/>
                <w:sz w:val="24"/>
              </w:rPr>
            </w:pPr>
            <w:r>
              <w:rPr>
                <w:rFonts w:eastAsia="黑体"/>
                <w:kern w:val="0"/>
                <w:sz w:val="24"/>
              </w:rPr>
              <w:t>序号</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center"/>
              <w:rPr>
                <w:rFonts w:eastAsia="黑体"/>
                <w:kern w:val="0"/>
                <w:sz w:val="24"/>
              </w:rPr>
            </w:pPr>
            <w:r>
              <w:rPr>
                <w:rFonts w:eastAsia="黑体"/>
                <w:kern w:val="0"/>
                <w:sz w:val="24"/>
              </w:rPr>
              <w:t>项目名称</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对跨省、自治区、直辖市引进的乳用、种用动物到达输入地后，未按规定进行隔离观察的处罚</w:t>
            </w:r>
          </w:p>
        </w:tc>
      </w:tr>
      <w:tr>
        <w:trPr>
          <w:trHeight w:val="8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变更机构名称或者法定代表人未办理变更手续的处罚对未在诊疗场所悬挂动物诊疗许可证或者公示从业人员基本情况的处罚对不使用病历，或者应当开具处方未开具处方的处罚对使用不规范的病历、处方笺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对转让、伪造或者变造《动物防疫条件合格证》的处罚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对假冒、伪造或者买卖许可证明文件的处罚</w:t>
            </w:r>
          </w:p>
        </w:tc>
      </w:tr>
      <w:tr>
        <w:trPr>
          <w:trHeight w:val="7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5</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对未取得生产许可证生产饲料、饲料添加剂的处罚对不再具备《饲料和饲料添加剂管理条例》第十四条规定的条件而继续生产饲料、饲料添加剂的处罚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6</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对使用限制使用的饲料原料、单一饲料、饲料添加剂、药物饲料添加剂、添加剂预混合饲料生产饲料，不遵守限制性规定的处罚</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7</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对饲料、饲料添加剂生产过程中不遵守相关质量安全管理规范和饲料添加剂安全使用规范的处罚对生产的饲料、饲料添加剂未经产品质量检验的处罚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8</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对饲料、饲料添加剂生产企业不依规定实行采购、生产、销售记录制度或者产品留样观察制度的处罚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9</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对不符合《饲料和饲料添加剂管理条例》规定的条件经营饲料、饲料添加剂的处罚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10</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对饲料、饲料添加剂经营者对饲料、饲料添加剂进行再加工或者添加物质的处罚</w:t>
            </w:r>
          </w:p>
        </w:tc>
      </w:tr>
      <w:tr>
        <w:tblPrEx>
          <w:tblCellMar>
            <w:top w:w="0" w:type="dxa"/>
            <w:left w:w="108" w:type="dxa"/>
            <w:bottom w:w="0" w:type="dxa"/>
            <w:right w:w="108" w:type="dxa"/>
          </w:tblCellMar>
        </w:tblPrEx>
        <w:trPr>
          <w:trHeight w:val="46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11</w:t>
            </w:r>
          </w:p>
        </w:tc>
        <w:tc>
          <w:tcPr>
            <w:tcW w:w="1348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对饲料、饲料添加剂经营者对饲料、饲料添加剂进行拆包分装的处罚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12</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对《条例》第二十八条规定的饲料、饲料添加剂生产企业不主动召回的处罚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13</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对生产、经营过程中，以非饲料、非饲料添加剂冒充饲料、饲料添加剂或者以此种饲料、饲料添加剂冒充他种饲料、饲料添加剂的处罚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14</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对养殖者使用未取得证书的新饲料、新饲料添加剂或者未取得进口登记证的进口饲料、进口饲料添加剂的处罚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15</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left"/>
              <w:rPr>
                <w:color w:val="000000"/>
                <w:kern w:val="0"/>
                <w:sz w:val="22"/>
                <w:szCs w:val="22"/>
              </w:rPr>
            </w:pPr>
            <w:r>
              <w:rPr>
                <w:color w:val="000000"/>
                <w:kern w:val="0"/>
                <w:sz w:val="22"/>
                <w:szCs w:val="22"/>
              </w:rPr>
              <w:t>对养殖者对外提供自行配制的饲料的处罚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16</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left"/>
              <w:rPr>
                <w:color w:val="000000"/>
                <w:kern w:val="0"/>
                <w:sz w:val="22"/>
                <w:szCs w:val="22"/>
              </w:rPr>
            </w:pPr>
            <w:r>
              <w:rPr>
                <w:color w:val="000000"/>
                <w:kern w:val="0"/>
                <w:sz w:val="22"/>
                <w:szCs w:val="22"/>
              </w:rPr>
              <w:t>对饲料、饲料添加剂生产企业超出许可范围生产饲料、饲料添加剂的处罚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17</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left"/>
              <w:rPr>
                <w:color w:val="000000"/>
                <w:kern w:val="0"/>
                <w:sz w:val="22"/>
                <w:szCs w:val="22"/>
              </w:rPr>
            </w:pPr>
            <w:r>
              <w:rPr>
                <w:color w:val="000000"/>
                <w:kern w:val="0"/>
                <w:sz w:val="22"/>
                <w:szCs w:val="22"/>
              </w:rPr>
              <w:t>对饲料、饲料添加剂生产企业采购饲料、饲料添加剂，未查验相关许可证明文件的处罚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18</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left"/>
              <w:rPr>
                <w:color w:val="000000"/>
                <w:kern w:val="0"/>
                <w:sz w:val="22"/>
                <w:szCs w:val="22"/>
              </w:rPr>
            </w:pPr>
            <w:r>
              <w:rPr>
                <w:color w:val="000000"/>
                <w:kern w:val="0"/>
                <w:sz w:val="22"/>
                <w:szCs w:val="22"/>
              </w:rPr>
              <w:t>对假冒、伪造、买卖产品批准文号的处罚</w:t>
            </w:r>
          </w:p>
        </w:tc>
      </w:tr>
      <w:tr>
        <w:tblPrEx>
          <w:tblCellMar>
            <w:top w:w="0" w:type="dxa"/>
            <w:left w:w="108" w:type="dxa"/>
            <w:bottom w:w="0" w:type="dxa"/>
            <w:right w:w="108" w:type="dxa"/>
          </w:tblCellMar>
        </w:tblPrEx>
        <w:trPr>
          <w:trHeight w:val="67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19</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left"/>
              <w:rPr>
                <w:color w:val="000000"/>
                <w:kern w:val="0"/>
                <w:sz w:val="22"/>
                <w:szCs w:val="22"/>
              </w:rPr>
            </w:pPr>
            <w:r>
              <w:rPr>
                <w:color w:val="000000"/>
                <w:kern w:val="0"/>
                <w:sz w:val="22"/>
                <w:szCs w:val="22"/>
              </w:rPr>
              <w:t>对饲料添加剂、添加剂预混合饲料生产企业违反规定，向定制企业以外的其他饲料、饲料添加剂生产企业、经营者或养殖者销售定制产品的处罚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20</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对无证生产、经营兽药的，或者生产、经营假、劣兽药的，或者兽药经营企业经营人用药品的处罚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21</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对提供虚假的资料、样品或采取欺骗手段取得兽药生产许可证、兽药经营许可证或者兽药批准证明文件的处罚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22</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对买卖、出租、出借兽药生产、经营许可证和兽药批准证明文件的处罚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23</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对兽药安全性评价单位、临床试验单位、生产和经营企业未按照规定实施兽药研究试验、生产、经营质量管理规范的处罚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24</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对兽药的包装、标签和说明书未经批准的处罚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25</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对境外企业在中国直接销售兽药的处罚</w:t>
            </w:r>
          </w:p>
        </w:tc>
      </w:tr>
      <w:tr>
        <w:tblPrEx>
          <w:tblCellMar>
            <w:top w:w="0" w:type="dxa"/>
            <w:left w:w="108" w:type="dxa"/>
            <w:bottom w:w="0" w:type="dxa"/>
            <w:right w:w="108" w:type="dxa"/>
          </w:tblCellMar>
        </w:tblPrEx>
        <w:trPr>
          <w:trHeight w:val="7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26</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对未按照规定使用兽药的、未建立用药记录或者记录不完整真实的，或者使用禁止使用的药品和其他化合物的，或者将人用药品用于动物的处罚</w:t>
            </w:r>
          </w:p>
        </w:tc>
      </w:tr>
      <w:tr>
        <w:trPr>
          <w:trHeight w:val="46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27</w:t>
            </w:r>
          </w:p>
        </w:tc>
        <w:tc>
          <w:tcPr>
            <w:tcW w:w="1348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对销售尚在用药期、休药期内的动物及其产品用于食品消费的，或者销售含有违禁药物和兽药残留超标的动物产品用于食品消费的处罚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28</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对擅自转移、使用、销毁、销售被查封或者扣押的兽药及有关材料的处罚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29</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对兽药生产、经营企业、兽药使用单位和兽医人员发现可能与兽药使用有关的严重不良反应，不报告的处罚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30</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对未经兽医开具处方销售、购买、使用兽用药的处罚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31</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对兽药生产、经营企业把原料药销售给生产企业以外的单位和个人的，或兽药经营企业拆零销售原料药的处罚</w:t>
            </w: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32</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left"/>
              <w:rPr>
                <w:color w:val="000000"/>
                <w:kern w:val="0"/>
                <w:sz w:val="22"/>
                <w:szCs w:val="22"/>
              </w:rPr>
            </w:pPr>
            <w:r>
              <w:rPr>
                <w:color w:val="000000"/>
                <w:kern w:val="0"/>
                <w:sz w:val="22"/>
                <w:szCs w:val="22"/>
              </w:rPr>
              <w:t>在饲料和动物饮用水中添加激素类药品和国务院兽医行政管理部门规定的其他禁用药品；对在饲料和动物饮用水中添加激素类药品和其他禁用药品或直接将原料药添加到饲料及动物饮用水中或饲喂动物的处罚</w:t>
            </w:r>
          </w:p>
        </w:tc>
      </w:tr>
      <w:tr>
        <w:trPr>
          <w:trHeight w:val="7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33</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对饲养的动物不按照动物疫病强制免疫计划进行免疫接种或者监测不合格及对动物、动物产品的运载工具在装载前和卸载后没有及时清洗、消毒的处罚</w:t>
            </w:r>
          </w:p>
        </w:tc>
      </w:tr>
      <w:tr>
        <w:tblPrEx>
          <w:tblCellMar>
            <w:top w:w="0" w:type="dxa"/>
            <w:left w:w="108" w:type="dxa"/>
            <w:bottom w:w="0" w:type="dxa"/>
            <w:right w:w="108" w:type="dxa"/>
          </w:tblCellMar>
        </w:tblPrEx>
        <w:trPr>
          <w:trHeight w:val="7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34</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对不按规定处置染疫动物及其排泄物，染疫动物产品，病死或者死因不明的动物尸体，运载工具中的动物排泄物以及垫料、包装物、容器等污染物以及其他经检疫不合格的动物、动物产品的处罚</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35</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对屠宰、经营、运输违反动物防疫法第二十五规定的动物或者生产、经营、加工、贮藏、运输违反动物防疫法第二十五规定的动物产品的处罚</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36</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对兴办动物饲养场（养殖小区）和隔离场所，动物屠宰加工场所，以及动物和动物产品无害化处理场所，未取得动物防疫条件合格证的处罚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37</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对屠宰、经营、运输的动物未附有检疫证明，经营和运输的动物产品未附有检疫证明、检疫标志的处罚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38</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对转让、伪造或变造检疫证明、标志或畜禽标识的处罚</w:t>
            </w:r>
          </w:p>
        </w:tc>
      </w:tr>
      <w:tr>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39</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对不遵守县级以上人民政府及其兽医主管部门依法作出的有关控制、扑灭动物疫病规定的处罚，对藏匿、转移、盗掘已被依法隔离、封存、处理的动物和动物产品的处罚，对未经允许擅自发布动物疫情的处罚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40</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对未取得动物诊疗许可证从事动物诊疗活动的处罚</w:t>
            </w:r>
          </w:p>
        </w:tc>
      </w:tr>
      <w:tr>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41</w:t>
            </w:r>
          </w:p>
        </w:tc>
        <w:tc>
          <w:tcPr>
            <w:tcW w:w="1348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未经兽医执业注册从事动物诊疗活动的处罚对违反有关动物诊疗的操作技术规范，造成或者可能造成动物疫病传播、流行的处罚对使用不符合国家规定的兽药和兽医器械的处罚对不按照当地人民政府或者兽医主管部门要求参加动物疫病预防、控制和扑灭活动的处罚</w:t>
            </w:r>
          </w:p>
        </w:tc>
      </w:tr>
      <w:tr>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42</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对从事动物疫病研究与诊疗和动物饲养、屠宰、经营、隔离、运输，以及动物产品生产、经营、加工、贮藏等活动的单位和个人，不履行动物疫情报告义务的处罚</w:t>
            </w:r>
          </w:p>
        </w:tc>
      </w:tr>
      <w:tr>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43</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对动物饲养场、养殖小区、动物隔离场所、动物屠宰加工场所以及动物和动物产品无害化处理场所，变更场所地址或者经营范围，未按规定重新申请《动物防疫条件合格证》的处罚</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44</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对专门经营动物的集贸市场、兼营动物和动物产品的集贸市场不符合防疫条件的处罚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45</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对跨省、自治区、直辖市引进用于饲养的非乳用、非种用动物和水产苗种到达目的地后，未向所在地动物卫生监督机构报告的处罚</w:t>
            </w:r>
          </w:p>
        </w:tc>
      </w:tr>
      <w:tr>
        <w:tblPrEx>
          <w:tblCellMar>
            <w:top w:w="0" w:type="dxa"/>
            <w:left w:w="108" w:type="dxa"/>
            <w:bottom w:w="0" w:type="dxa"/>
            <w:right w:w="108" w:type="dxa"/>
          </w:tblCellMar>
        </w:tblPrEx>
        <w:trPr>
          <w:trHeight w:val="462" w:hRule="atLeast"/>
        </w:trPr>
        <w:tc>
          <w:tcPr>
            <w:tcW w:w="145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eastAsia="黑体"/>
                <w:kern w:val="0"/>
                <w:sz w:val="32"/>
                <w:szCs w:val="32"/>
              </w:rPr>
            </w:pPr>
            <w:r>
              <w:rPr>
                <w:rFonts w:eastAsia="黑体"/>
                <w:kern w:val="0"/>
                <w:sz w:val="32"/>
                <w:szCs w:val="32"/>
              </w:rPr>
              <w:t>县水产局划转到县农业综合执法大队行使的行政处罚权</w:t>
            </w:r>
          </w:p>
        </w:tc>
      </w:tr>
      <w:tr>
        <w:trPr>
          <w:trHeight w:val="462" w:hRule="atLeast"/>
        </w:trPr>
        <w:tc>
          <w:tcPr>
            <w:tcW w:w="10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eastAsia="黑体"/>
                <w:kern w:val="0"/>
                <w:sz w:val="24"/>
              </w:rPr>
            </w:pPr>
            <w:r>
              <w:rPr>
                <w:rFonts w:eastAsia="黑体"/>
                <w:kern w:val="0"/>
                <w:sz w:val="24"/>
              </w:rPr>
              <w:t>序号</w:t>
            </w:r>
          </w:p>
        </w:tc>
        <w:tc>
          <w:tcPr>
            <w:tcW w:w="13480" w:type="dxa"/>
            <w:tcBorders>
              <w:top w:val="nil"/>
              <w:left w:val="nil"/>
              <w:bottom w:val="single" w:color="auto" w:sz="4" w:space="0"/>
              <w:right w:val="single" w:color="auto" w:sz="4" w:space="0"/>
            </w:tcBorders>
            <w:shd w:val="clear" w:color="auto" w:fill="FFFFFF"/>
            <w:noWrap w:val="0"/>
            <w:vAlign w:val="center"/>
          </w:tcPr>
          <w:p>
            <w:pPr>
              <w:widowControl/>
              <w:jc w:val="center"/>
              <w:rPr>
                <w:rFonts w:eastAsia="黑体"/>
                <w:kern w:val="0"/>
                <w:sz w:val="24"/>
              </w:rPr>
            </w:pPr>
            <w:r>
              <w:rPr>
                <w:rFonts w:eastAsia="黑体"/>
                <w:kern w:val="0"/>
                <w:sz w:val="24"/>
              </w:rPr>
              <w:t>项目名称</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1</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违法《渔业法》有关规定进行非法捕捞,破坏渔业资源及违反禁渔期规定等进行捕捞的行政处罚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2</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非法捕杀、出售、收购、运输、携带国家和省重点保护的或者地方重点保护的水生野生动物及其产品的行政处罚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3</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渔业污染事故的行政处罚</w:t>
            </w:r>
          </w:p>
        </w:tc>
      </w:tr>
      <w:tr>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4</w:t>
            </w:r>
          </w:p>
        </w:tc>
        <w:tc>
          <w:tcPr>
            <w:tcW w:w="1348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水产养殖和水产品质量安全违法行为的行政处罚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NGYzY2Q2OTBjYzNlMTE2MWZiZWY5ZGU1NjA1MWQifQ=="/>
  </w:docVars>
  <w:rsids>
    <w:rsidRoot w:val="7589664C"/>
    <w:rsid w:val="7589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2022-10-28T06:40:00Z</dcterms:created>
  <dc:creator>llxdsjzx</dc:creator>
  <cp:lastModifiedBy>llxdsjzx</cp:lastModifiedBy>
  <dcterms:modified xsi:type="dcterms:W3CDTF">2022-10-28T06:40:55Z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5280DCB3E20540BFA128CB297053E167</vt:lpwstr>
  </property>
</Properties>
</file>